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08 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Tretekstu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Wykonanie pomiarów środowiska pracy.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</w:t>
      </w:r>
      <w:r>
        <w:rPr>
          <w:b/>
          <w:highlight w:val="white"/>
        </w:rPr>
        <w:t xml:space="preserve">  3</w:t>
      </w:r>
      <w:r>
        <w:rPr>
          <w:b/>
        </w:rPr>
        <w:t>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PROSZOWICE,  CZERWIEC 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4"/>
          <w:sz w:val="22"/>
          <w:vertAlign w:val="baseline"/>
        </w:rPr>
      </w:pPr>
      <w:r>
        <w:rPr>
          <w:rFonts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  <w:t>Przedmiotem zamówienia są: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rPr/>
      </w:pPr>
      <w:r>
        <w:rPr>
          <w:szCs w:val="22"/>
        </w:rPr>
        <w:t>Przedmiotem zamówienia są:</w:t>
      </w:r>
    </w:p>
    <w:p>
      <w:pPr>
        <w:pStyle w:val="ListParagraph"/>
        <w:numPr>
          <w:ilvl w:val="0"/>
          <w:numId w:val="7"/>
        </w:numPr>
        <w:rPr/>
      </w:pPr>
      <w:r>
        <w:rPr>
          <w:szCs w:val="22"/>
        </w:rPr>
        <w:t xml:space="preserve"> </w:t>
      </w:r>
      <w:r>
        <w:rPr>
          <w:szCs w:val="22"/>
        </w:rPr>
        <w:t xml:space="preserve">Pomiary środowiskowe na stanowiskach pracy wyposażonych w urządzenia wytwarzające pole elektromagnetyczne wysokiej częstotliwości 0,1 – 300 MHz: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720" w:hanging="0"/>
        <w:jc w:val="both"/>
        <w:rPr/>
      </w:pPr>
      <w:r>
        <w:rPr>
          <w:szCs w:val="22"/>
        </w:rPr>
        <w:t>Diatermia chirurgiczna - sala operacyjna nr I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Typ: ICC – 300-10128-071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Producent: ERBE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Nr fabryczny: F-2168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Rok produkcji: 2003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Częstotliwość pracy: 427 kHz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Moc urządzenia: 330W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Zastosowanie: cięcie i koagulacja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720" w:hanging="0"/>
        <w:jc w:val="both"/>
        <w:rPr/>
      </w:pPr>
      <w:r>
        <w:rPr>
          <w:szCs w:val="22"/>
        </w:rPr>
        <w:t>Diatermia chirurgiczna (sala operacyjna nr II)</w:t>
      </w:r>
    </w:p>
    <w:p>
      <w:pPr>
        <w:pStyle w:val="Normal"/>
        <w:ind w:left="720" w:hanging="0"/>
        <w:jc w:val="both"/>
        <w:rPr/>
      </w:pPr>
      <w:r>
        <w:rPr>
          <w:szCs w:val="22"/>
          <w:lang w:val="en-US"/>
        </w:rPr>
        <w:t>Typ: Force Triad</w:t>
      </w:r>
    </w:p>
    <w:p>
      <w:pPr>
        <w:pStyle w:val="Normal"/>
        <w:ind w:left="720" w:hanging="0"/>
        <w:jc w:val="both"/>
        <w:rPr/>
      </w:pPr>
      <w:r>
        <w:rPr>
          <w:szCs w:val="22"/>
          <w:lang w:val="en-US"/>
        </w:rPr>
        <w:t>Producent: Tehand</w:t>
      </w:r>
    </w:p>
    <w:p>
      <w:pPr>
        <w:pStyle w:val="Normal"/>
        <w:ind w:left="720" w:hanging="0"/>
        <w:jc w:val="both"/>
        <w:rPr/>
      </w:pPr>
      <w:r>
        <w:rPr>
          <w:szCs w:val="22"/>
          <w:lang w:val="en-US"/>
        </w:rPr>
        <w:t>Nr fabryczny: TOH 17805E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Rok produkcji: 2010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Częstotliwość pracy: 427 Hz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Moc urządzenia: 350W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Zastosowanie: cięcie i koagulacja</w:t>
      </w:r>
    </w:p>
    <w:p>
      <w:pPr>
        <w:pStyle w:val="Normal"/>
        <w:ind w:left="72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720" w:hanging="0"/>
        <w:jc w:val="both"/>
        <w:rPr/>
      </w:pPr>
      <w:r>
        <w:rPr>
          <w:szCs w:val="22"/>
        </w:rPr>
        <w:t xml:space="preserve">Diatermia chirurgiczna - sala operacyjna nr III 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Typ: ICC – 300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Producent: ERBE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Nr fabryczny: 10128-070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Rok produkcji: 2006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Częstotliwość pracy: 330 Hz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Moc urządzenia: 300W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Zastosowanie: cięcie i koagulacja</w:t>
      </w:r>
    </w:p>
    <w:p>
      <w:pPr>
        <w:pStyle w:val="Normal"/>
        <w:ind w:left="72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720" w:hanging="0"/>
        <w:jc w:val="both"/>
        <w:rPr/>
      </w:pPr>
      <w:r>
        <w:rPr>
          <w:szCs w:val="22"/>
        </w:rPr>
        <w:t>Diatermia chirurgiczna - pracownia endoskopii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Typ: ICC – 300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Producent: ERBE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Nr fabryczny: 10128-070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Rok produkcji: 2006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Częstotliwość pracy: 330 Hz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Moc urządzenia: 300W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Zastosowanie: cięcie i koagulacja</w:t>
      </w:r>
    </w:p>
    <w:p>
      <w:pPr>
        <w:pStyle w:val="Normal"/>
        <w:ind w:left="72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720" w:hanging="0"/>
        <w:jc w:val="both"/>
        <w:rPr/>
      </w:pPr>
      <w:r>
        <w:rPr>
          <w:szCs w:val="22"/>
        </w:rPr>
        <w:t>Aparat elektrochirurgiczny ELTRON 80-120-160 – poradnia chirurgiczna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Typ: ELTRON 160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Producent: BECHTOLD/LED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Rok produkcji: 2015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Częstotliwość pracy: 600 Hz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Moc urządzenia: 160 W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Zastosowanie: cięcie i koagulacja</w:t>
      </w:r>
    </w:p>
    <w:p>
      <w:pPr>
        <w:pStyle w:val="Normal"/>
        <w:ind w:left="720" w:hanging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ind w:left="720" w:hanging="0"/>
        <w:jc w:val="both"/>
        <w:rPr/>
      </w:pPr>
      <w:r>
        <w:rPr>
          <w:szCs w:val="22"/>
        </w:rPr>
        <w:t>Diatermia krótkofalowa - poradnia rehabilitacyjna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Typ: G – 110 DIAMAT g-110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Producent: Famed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Nr fabryczny: 80002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Rok produkcji: 1980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Częstotliwość pracy: 27,12 Hz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Moc urządzenia: 500W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>Zastosowanie: terapia</w:t>
      </w:r>
    </w:p>
    <w:p>
      <w:pPr>
        <w:pStyle w:val="Normal"/>
        <w:ind w:left="720" w:hanging="0"/>
        <w:jc w:val="both"/>
        <w:rPr>
          <w:szCs w:val="22"/>
        </w:rPr>
      </w:pPr>
      <w:r>
        <w:rPr>
          <w:szCs w:val="22"/>
        </w:rPr>
      </w:r>
    </w:p>
    <w:p>
      <w:pPr>
        <w:pStyle w:val="ListParagraph"/>
        <w:numPr>
          <w:ilvl w:val="0"/>
          <w:numId w:val="7"/>
        </w:numPr>
        <w:rPr/>
      </w:pPr>
      <w:r>
        <w:rPr>
          <w:szCs w:val="22"/>
        </w:rPr>
        <w:t>Pomiary czynnika chemicznego na stanowisku pracy:</w:t>
      </w:r>
    </w:p>
    <w:p>
      <w:pPr>
        <w:pStyle w:val="Normal"/>
        <w:ind w:left="720" w:hanging="0"/>
        <w:jc w:val="both"/>
        <w:rPr/>
      </w:pPr>
      <w:r>
        <w:rPr>
          <w:szCs w:val="22"/>
        </w:rPr>
        <w:t xml:space="preserve">Formaldehyd: Pracownia bronchoskopii, </w:t>
      </w:r>
    </w:p>
    <w:p>
      <w:pPr>
        <w:pStyle w:val="Normal"/>
        <w:ind w:left="1428" w:firstLine="696"/>
        <w:jc w:val="both"/>
        <w:rPr/>
      </w:pPr>
      <w:r>
        <w:rPr>
          <w:szCs w:val="22"/>
        </w:rPr>
        <w:t xml:space="preserve">Ambulatorium Poradni chirurgicznej, </w:t>
      </w:r>
    </w:p>
    <w:p>
      <w:pPr>
        <w:pStyle w:val="Normal"/>
        <w:spacing w:lineRule="exact" w:line="240" w:before="0" w:after="0"/>
        <w:ind w:left="1428" w:firstLine="696"/>
        <w:jc w:val="both"/>
        <w:rPr/>
      </w:pPr>
      <w:r>
        <w:rPr>
          <w:szCs w:val="22"/>
        </w:rPr>
        <w:t xml:space="preserve">Sala porodowa.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Pomiary należy wykonać w terminie do 30.06.2017 r.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IV. WYMAGANIA  STAWIANE WYKONAWCY</w:t>
      </w:r>
    </w:p>
    <w:p>
      <w:pPr>
        <w:pStyle w:val="Normal"/>
        <w:jc w:val="both"/>
        <w:rPr/>
      </w:pPr>
      <w:r>
        <w:rPr>
          <w:bCs/>
        </w:rPr>
        <w:t>Laboratorium badawcze składa oświadczenie, iż spełnia wymagania stawiane laboratoriom badawczym określone w Rozporządzeniu Ministra Rodziny, Pracy i Polityki Społecznej                z</w:t>
      </w:r>
      <w:r>
        <w:rPr/>
        <w:t xml:space="preserve"> dnia 29 czerwca 2016 r. w</w:t>
      </w:r>
      <w:r>
        <w:rPr>
          <w:bCs/>
        </w:rPr>
        <w:t xml:space="preserve"> sprawie bezpieczeństwa i higieny pracy przy pracach związanych z narażeniem na pole elektromagnetyczne (Dz. U. 2016 poz. 950 z późn. zm.)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Style w:val="Czeinternetowe"/>
          <w:rFonts w:cs="Arial"/>
          <w:b/>
          <w:bCs/>
          <w:color w:val="000000"/>
          <w:sz w:val="22"/>
          <w:szCs w:val="22"/>
          <w:highlight w:val="white"/>
          <w:u w:val="none"/>
        </w:rPr>
        <w:t>Oświadczenie podpisane przez osobę/y uprawnioną/e do reprezentowania firmy  należy złożyć łącznie z ofertą.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Oświadczenie, o którym mowa w </w:t>
      </w:r>
      <w:r>
        <w:rPr>
          <w:rFonts w:cs="Times New Roman"/>
          <w:b/>
          <w:bCs/>
          <w:sz w:val="22"/>
          <w:szCs w:val="22"/>
        </w:rPr>
        <w:t>części IV niniejszego zaproszenia.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Oferta i oświadczenie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</w:r>
    </w:p>
    <w:p>
      <w:pPr>
        <w:pStyle w:val="BodyText3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numPr>
          <w:ilvl w:val="0"/>
          <w:numId w:val="0"/>
        </w:numPr>
        <w:ind w:left="705" w:right="0" w:hanging="0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 12 386-52-14,    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Oferta powinna zawierać ceny jednostkowe, oraz wartość brutto całej usługi.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Cena brutto powinna zawierać wszystkie koszty związane z realizacją zamówienia.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Wszystkie ceny i kwoty powinny być podane w zaokrągleniu do jednego grosza.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Cena oferty (brutto) jest </w:t>
      </w:r>
      <w:r>
        <w:rPr>
          <w:b/>
          <w:bCs/>
          <w:sz w:val="22"/>
          <w:szCs w:val="22"/>
          <w:highlight w:val="white"/>
        </w:rPr>
        <w:t>ceną,</w:t>
      </w:r>
      <w:r>
        <w:rPr>
          <w:b w:val="false"/>
          <w:bCs w:val="false"/>
          <w:sz w:val="22"/>
          <w:szCs w:val="22"/>
          <w:highlight w:val="white"/>
        </w:rPr>
        <w:t xml:space="preserve"> która zostanie przyjęta do oceny ofert.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Cena musi być podana w złotych polskich (PLN) (cyfrowo 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sporządzenia oferty należy wykorzystać formularz  „OFERTA”. </w:t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 należy umieścić w 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rPr>
          <w:highlight w:val="white"/>
        </w:rPr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08/2017</w:t>
      </w:r>
    </w:p>
    <w:p>
      <w:pPr>
        <w:pStyle w:val="Normal"/>
        <w:shd w:val="clear" w:fill="FFFFFF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  <w:u w:val="single"/>
        </w:rPr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>Wykonanie pomiarów środowiska  pracy.</w:t>
      </w:r>
    </w:p>
    <w:p>
      <w:pPr>
        <w:pStyle w:val="Normal"/>
        <w:shd w:val="clear" w:fill="FFFFFF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Nie otwierać przed dniem 14.06.2017 r. godz. 10:00 </w:t>
      </w:r>
    </w:p>
    <w:p>
      <w:pPr>
        <w:pStyle w:val="Normal"/>
        <w:shd w:val="clear" w:fill="FFFFFF"/>
        <w:rPr>
          <w:highlight w:val="white"/>
        </w:rPr>
      </w:pPr>
      <w:r>
        <w:rPr>
          <w:sz w:val="22"/>
          <w:szCs w:val="22"/>
          <w:highlight w:val="white"/>
        </w:rPr>
        <w:t xml:space="preserve">oraz  </w:t>
      </w:r>
      <w:r>
        <w:rPr>
          <w:b/>
          <w:sz w:val="22"/>
          <w:szCs w:val="22"/>
          <w:highlight w:val="white"/>
        </w:rPr>
        <w:t>nazwę i adres Wykonawcy</w:t>
      </w:r>
      <w:r>
        <w:rPr>
          <w:sz w:val="22"/>
          <w:szCs w:val="22"/>
          <w:highlight w:val="white"/>
        </w:rPr>
        <w:t>.</w:t>
      </w:r>
    </w:p>
    <w:p>
      <w:pPr>
        <w:pStyle w:val="Normal"/>
        <w:shd w:val="clear" w:fill="FFFFFF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</w:t>
      </w:r>
      <w:r>
        <w:rPr>
          <w:b/>
          <w:bCs/>
          <w:color w:val="000000"/>
          <w:sz w:val="22"/>
          <w:szCs w:val="22"/>
          <w:highlight w:val="white"/>
        </w:rPr>
        <w:t xml:space="preserve">(sekretariat Dyrekcji)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w terminie </w:t>
      </w:r>
      <w:r>
        <w:rPr>
          <w:b/>
          <w:bCs/>
          <w:color w:val="000000"/>
          <w:sz w:val="22"/>
          <w:szCs w:val="22"/>
          <w:highlight w:val="white"/>
        </w:rPr>
        <w:t>do dnia 14.06.2017 r. do godz. 9:30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         z upływem powyższego terminu oferta powinna fizycznie znaleźć się u Zamawiającego.</w:t>
      </w:r>
    </w:p>
    <w:p>
      <w:pPr>
        <w:pStyle w:val="Tretekstu"/>
        <w:jc w:val="both"/>
        <w:rPr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</w:r>
    </w:p>
    <w:p>
      <w:pPr>
        <w:pStyle w:val="Tretekstu"/>
        <w:spacing w:before="0" w:after="283"/>
        <w:jc w:val="both"/>
        <w:rPr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Oferty zostaną otwarte w siedzibie SP ZOZ w Proszowicach, ul. Kopernika 13, 32-100 Proszowice,    Dział Zamówień Publicznych w dniu 14.06.2017 r. o godz. 10:00</w:t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4"/>
          <w:highlight w:val="white"/>
        </w:rPr>
      </w:pPr>
      <w:r>
        <w:rPr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Proszowice, dnia  09.06.2017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Formularz ofertowy.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 w:val="false"/>
          <w:bCs w:val="false"/>
          <w:sz w:val="22"/>
          <w:szCs w:val="22"/>
        </w:rPr>
        <w:t xml:space="preserve">Oznaczenie sprawy: 08/2017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Załącznik Nr 1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Nazwa zamówienia  </w:t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A"/>
          <w:spacing w:val="0"/>
          <w:position w:val="0"/>
          <w:sz w:val="32"/>
          <w:sz w:val="22"/>
          <w:szCs w:val="28"/>
          <w:highlight w:val="whit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8"/>
          <w:highlight w:val="white"/>
          <w:vertAlign w:val="baseline"/>
        </w:rPr>
        <w:t xml:space="preserve">Wykonanie pomiarów środowiska pracy. </w:t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e-mail : _______________________________________</w:t>
      </w:r>
    </w:p>
    <w:p>
      <w:pPr>
        <w:pStyle w:val="Tekstpodstawowy2"/>
        <w:spacing w:lineRule="atLeast" w:line="100" w:before="0" w:after="12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podstawowy2"/>
        <w:spacing w:lineRule="atLeast" w:line="100" w:before="0" w:after="120"/>
        <w:jc w:val="left"/>
        <w:rPr/>
      </w:pPr>
      <w:r>
        <w:rPr>
          <w:b/>
          <w:bCs/>
          <w:sz w:val="22"/>
          <w:szCs w:val="22"/>
        </w:rPr>
        <w:t>Oferuję wykonanie zamówienia na warunkach określonych w Zaproszeniu, za cenę:</w:t>
      </w:r>
    </w:p>
    <w:tbl>
      <w:tblPr>
        <w:tblStyle w:val="Tabela-Siatka"/>
        <w:tblW w:w="9555" w:type="dxa"/>
        <w:jc w:val="left"/>
        <w:tblInd w:w="4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5"/>
        <w:gridCol w:w="2290"/>
        <w:gridCol w:w="1823"/>
        <w:gridCol w:w="1723"/>
        <w:gridCol w:w="3114"/>
      </w:tblGrid>
      <w:tr>
        <w:trPr/>
        <w:tc>
          <w:tcPr>
            <w:tcW w:w="605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Lp.</w:t>
            </w:r>
          </w:p>
        </w:tc>
        <w:tc>
          <w:tcPr>
            <w:tcW w:w="2290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Nazwa czynnika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Cena jednostkowa netto [zł]</w:t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Ilość urządzeń/ stanowisk [szt]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Iloczyn ceny jednostkowej netto i ilości urządzeń/stanowisk [zł]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1</w:t>
            </w:r>
          </w:p>
        </w:tc>
        <w:tc>
          <w:tcPr>
            <w:tcW w:w="2290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Pole elektromagnetyczne</w:t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6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2</w:t>
            </w:r>
          </w:p>
        </w:tc>
        <w:tc>
          <w:tcPr>
            <w:tcW w:w="2290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 xml:space="preserve">Formaldehyd 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823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723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  <w:t>3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6441" w:type="dxa"/>
            <w:gridSpan w:val="4"/>
            <w:tcBorders/>
            <w:shd w:fill="auto" w:val="clear"/>
            <w:vAlign w:val="center"/>
          </w:tcPr>
          <w:p>
            <w:pPr>
              <w:pStyle w:val="Standard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RAZEM :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/>
        <w:t xml:space="preserve">Cena netto  przedmiotu zamówienia   __________________ zł ____ gr.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(słownie złotych  ___________________________________________________________)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kwota podatku od towarów i usług (VAT) ___ %   _______________________ zł ___ gr.</w:t>
      </w:r>
    </w:p>
    <w:p>
      <w:pPr>
        <w:pStyle w:val="Standard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andard"/>
        <w:rPr/>
      </w:pPr>
      <w:r>
        <w:rPr>
          <w:b/>
          <w:sz w:val="22"/>
        </w:rPr>
        <w:t>Cena  oferty (brutto) przedmiotu zamówienia   ______</w:t>
      </w:r>
      <w:r>
        <w:rPr>
          <w:sz w:val="22"/>
        </w:rPr>
        <w:t xml:space="preserve">____________ </w:t>
      </w:r>
      <w:r>
        <w:rPr>
          <w:b/>
          <w:sz w:val="22"/>
        </w:rPr>
        <w:t>zł</w:t>
      </w:r>
      <w:r>
        <w:rPr>
          <w:sz w:val="22"/>
        </w:rPr>
        <w:t xml:space="preserve"> ____ </w:t>
      </w:r>
      <w:r>
        <w:rPr>
          <w:b/>
          <w:sz w:val="22"/>
        </w:rPr>
        <w:t xml:space="preserve">gr. </w:t>
      </w:r>
    </w:p>
    <w:p>
      <w:pPr>
        <w:pStyle w:val="Standard"/>
        <w:rPr/>
      </w:pPr>
      <w:r>
        <w:rPr/>
        <w:t>(słownie złotych  ___________________________________________________________)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Przedmiot zamówienia wykonam do dnia 30.06.2017 r.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Standard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(pieczęć i podpis)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  <w:bookmarkStart w:id="0" w:name="_PictureBullets"/>
      <w:bookmarkEnd w:id="0"/>
      <w:r>
        <w:rPr/>
        <w:t xml:space="preserve">                                                                                                               </w:t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315" w:top="390" w:footer="848" w:bottom="13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sz w:val="22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Times New Roman" w:hAnsi="Times New Roman" w:cs="OpenSymbol;Arial Unicode MS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imes New Roman" w:hAnsi="Times New Roman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  <w:sz w:val="22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  <w:sz w:val="20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ascii="Times New Roman" w:hAnsi="Times New Roman" w:cs="Symbol"/>
      <w:sz w:val="22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ascii="Times New Roman" w:hAnsi="Times New Roman" w:cs="Symbol"/>
      <w:sz w:val="22"/>
    </w:rPr>
  </w:style>
  <w:style w:type="character" w:styleId="ListLabel75">
    <w:name w:val="ListLabel 75"/>
    <w:qFormat/>
    <w:rPr>
      <w:rFonts w:ascii="Times New Roman" w:hAnsi="Times New Roman" w:cs="Symbol"/>
      <w:sz w:val="22"/>
    </w:rPr>
  </w:style>
  <w:style w:type="character" w:styleId="ListLabel76">
    <w:name w:val="ListLabel 76"/>
    <w:qFormat/>
    <w:rPr>
      <w:rFonts w:ascii="Times New Roman" w:hAnsi="Times New Roman" w:cs="Symbol"/>
      <w:sz w:val="22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ascii="Times New Roman" w:hAnsi="Times New Roman"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 w:cs="OpenSymbol;Arial Unicode MS"/>
      <w:sz w:val="22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1049</TotalTime>
  <Application>LibreOffice/5.2.1.2$Windows_x86 LibreOffice_project/31dd62db80d4e60af04904455ec9c9219178d620</Application>
  <Pages>6</Pages>
  <Words>1163</Words>
  <Characters>8028</Characters>
  <CharactersWithSpaces>10033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dcterms:modified xsi:type="dcterms:W3CDTF">2017-06-09T14:36:53Z</dcterms:modified>
  <cp:revision>127</cp:revision>
  <dc:subject/>
  <dc:title/>
</cp:coreProperties>
</file>