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  <w:highlight w:val="white"/>
        </w:rPr>
        <w:t>Oznaczenie sprawy: 02/2020                                                      Załącznik nr 6 do Zaproszenia</w:t>
      </w:r>
    </w:p>
    <w:p>
      <w:pPr>
        <w:pStyle w:val="Tytu"/>
        <w:rPr>
          <w:sz w:val="24"/>
          <w:highlight w:val="white"/>
        </w:rPr>
      </w:pPr>
      <w:r>
        <w:rPr>
          <w:sz w:val="24"/>
          <w:highlight w:val="white"/>
        </w:rPr>
      </w:r>
    </w:p>
    <w:p>
      <w:pPr>
        <w:pStyle w:val="Tytu"/>
        <w:rPr>
          <w:sz w:val="24"/>
          <w:highlight w:val="white"/>
        </w:rPr>
      </w:pPr>
      <w:r>
        <w:rPr>
          <w:sz w:val="24"/>
          <w:highlight w:val="white"/>
        </w:rPr>
      </w:r>
    </w:p>
    <w:p>
      <w:pPr>
        <w:pStyle w:val="Tytu"/>
        <w:rPr>
          <w:sz w:val="24"/>
        </w:rPr>
      </w:pPr>
      <w:r>
        <w:rPr>
          <w:sz w:val="24"/>
          <w:highlight w:val="white"/>
        </w:rPr>
        <w:t>Projekt Umowa nr …………..</w:t>
      </w:r>
    </w:p>
    <w:p>
      <w:pPr>
        <w:pStyle w:val="Tytu"/>
        <w:rPr>
          <w:sz w:val="24"/>
          <w:highlight w:val="white"/>
        </w:rPr>
      </w:pPr>
      <w:r>
        <w:rPr>
          <w:sz w:val="24"/>
          <w:highlight w:val="white"/>
        </w:rPr>
      </w:r>
    </w:p>
    <w:p>
      <w:pPr>
        <w:pStyle w:val="Tytu"/>
        <w:rPr/>
      </w:pPr>
      <w:r>
        <w:rPr>
          <w:b w:val="false"/>
          <w:bCs w:val="false"/>
          <w:sz w:val="24"/>
          <w:highlight w:val="white"/>
        </w:rPr>
        <w:t>Zawarta dnia ……………………….. 2020 roku pomiędzy:</w:t>
      </w:r>
    </w:p>
    <w:p>
      <w:pPr>
        <w:pStyle w:val="Podtytu"/>
        <w:jc w:val="left"/>
        <w:rPr>
          <w:rFonts w:ascii="Times New Roman" w:hAnsi="Times New Roman"/>
          <w:b/>
          <w:b/>
          <w:highlight w:val="white"/>
        </w:rPr>
      </w:pPr>
      <w:r>
        <w:rPr>
          <w:rFonts w:ascii="Times New Roman" w:hAnsi="Times New Roman"/>
          <w:b/>
          <w:highlight w:val="white"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„Odbiorcą” lub „Szpitalem”,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eastAsia="Arial Unicode MS" w:cs="Times New Roman"/>
          <w:bCs/>
          <w:lang w:eastAsia="ar-SA"/>
        </w:rPr>
        <w:t xml:space="preserve">Niniejszą umowę zawarto bez stosowania przepisów Ustawy z dnia 29 stycznia 2004 r. Prawo zamówień publicznych (Dz. U. z 2019 r. poz. 1843 z późniejszymi zmianami), na podst. art. 4 pkt 8 cytowanej ustawy. Oznaczenie sprawy: 02/2020. </w:t>
      </w:r>
    </w:p>
    <w:p>
      <w:pPr>
        <w:pStyle w:val="Normal"/>
        <w:jc w:val="both"/>
        <w:rPr>
          <w:rFonts w:eastAsia="Arial Unicode MS" w:cs="Times New Roman"/>
          <w:bCs/>
          <w:sz w:val="22"/>
          <w:szCs w:val="22"/>
          <w:lang w:eastAsia="ar-SA"/>
        </w:rPr>
      </w:pPr>
      <w:r>
        <w:rPr>
          <w:rFonts w:eastAsia="Arial Unicode MS" w:cs="Times New Roman"/>
          <w:bCs/>
          <w:sz w:val="22"/>
          <w:szCs w:val="22"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>1.1 Na podstawie ninie</w:t>
      </w:r>
      <w:r>
        <w:rPr>
          <w:highlight w:val="white"/>
        </w:rPr>
        <w:t>jszej umowy w ramach prowadzonego przedsiębiorstwa Dostawca zobowiązuje się dostarczyć, zainstalować, skonfigurować oraz wdrożyć oprogramowanie wraz z przeprowadzeniem szkolenia dla pracowników medycznych. Dodatkowo w ramach Przedmiotu Umowy Dostawca udzieli lub zapewni udzielenie przez uprawniony podm</w:t>
      </w:r>
      <w:r>
        <w:rPr/>
        <w:t>iot odpowiednich licencji na korzystanie z dostarczonego oprogramowania w zakresie umożliwiającym jego wykorzystywanie, wsparcie techniczne i serwisowe –dalej jako „Przedmiot Umowy”).</w:t>
      </w:r>
    </w:p>
    <w:p>
      <w:pPr>
        <w:pStyle w:val="Normal"/>
        <w:spacing w:before="0" w:after="120"/>
        <w:ind w:left="1134" w:hanging="454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Udzielona licencja jest niewyłączna, na jej podstawie Użytkownik uprawniony jest do: </w:t>
      </w:r>
    </w:p>
    <w:p>
      <w:pPr>
        <w:pStyle w:val="Tretekstu"/>
        <w:ind w:left="1416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a. zainstalowania, uruchamiania, przechowywania kopii Oprogramowania i korzystania z niego zgodnie z przeznaczeniem określonym w dokumentacji użytkowej, </w:t>
      </w:r>
    </w:p>
    <w:p>
      <w:pPr>
        <w:pStyle w:val="Tretekstu"/>
        <w:ind w:left="1416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b. zwielokrotniania Oprogramowania jedynie w celu stworzenia kopii zapasowej Oprogramowania. 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  </w:t>
      </w:r>
      <w:r>
        <w:rPr>
          <w:sz w:val="24"/>
          <w:szCs w:val="24"/>
        </w:rPr>
        <w:t xml:space="preserve">Niedozwolone jest m. in.: </w:t>
      </w:r>
    </w:p>
    <w:p>
      <w:pPr>
        <w:pStyle w:val="Tretekstu"/>
        <w:ind w:left="1416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a. wykorzystywanie Oprogramowania przez osoby trzecie, w szczególności jego najem bądź dzierżawa, </w:t>
      </w:r>
    </w:p>
    <w:p>
      <w:pPr>
        <w:pStyle w:val="Tretekstu"/>
        <w:ind w:left="1416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b. dokonywanie zmian w kodzie źródłowym i wynikowym Oprogramowania oraz zmian w sposobie funkcjonowania Oprogramowania innych niż dozwolone użytkownikowi Oprogramowania, </w:t>
      </w:r>
    </w:p>
    <w:p>
      <w:pPr>
        <w:pStyle w:val="Tretekstu"/>
        <w:ind w:left="1416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c. dekompilowanie Oprogramowania w przypadkach innych niż dozwolone przepisami ustawy o prawie autorskim i prawach pokrewnych. 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Dokonywanie czynności określonych w art. 74 ust. 4 pkt. 1) i 2) ustawy o prawie autorskim i prawach pokrewnych, poza zakresem dozwolonym Umową wymaga każdorazowo zgody Producenta. 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Użytkownik nie jest uprawniony do przeniesienia na osobę trzecią praw z udzielonej mu licencji, w tym do udzielenia sublicencji. 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Producent wyśle Użytkownikowi klucz licencji niezbędny do prawidłowego uruchomienia zamówionego Oprogramowania.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</w:t>
      </w:r>
      <w:r>
        <w:rPr/>
        <w:t>1.2  Szczegółowy opis Przedmiotu Umowy, zgodny ze specyfikacją zamówienia oraz</w:t>
      </w:r>
    </w:p>
    <w:p>
      <w:pPr>
        <w:pStyle w:val="Tretekstu"/>
        <w:jc w:val="both"/>
        <w:rPr/>
      </w:pPr>
      <w:r>
        <w:rPr/>
        <w:t xml:space="preserve">              </w:t>
      </w:r>
      <w:r>
        <w:rPr/>
        <w:t xml:space="preserve">złożoną ofertą, których treść jest Dostawcy znana i zobowiązuje się on do wykonania          </w:t>
      </w:r>
    </w:p>
    <w:p>
      <w:pPr>
        <w:pStyle w:val="Tretekstu"/>
        <w:jc w:val="both"/>
        <w:rPr/>
      </w:pPr>
      <w:r>
        <w:rPr/>
        <w:t xml:space="preserve">            </w:t>
      </w:r>
      <w:r>
        <w:rPr/>
        <w:t xml:space="preserve">Przedmiotu Umowy zgodnie z wymogami określonymi przez Odbiorcę w specyfikacji    </w:t>
      </w:r>
    </w:p>
    <w:p>
      <w:pPr>
        <w:pStyle w:val="Tretekstu"/>
        <w:jc w:val="both"/>
        <w:rPr/>
      </w:pPr>
      <w:r>
        <w:rPr/>
        <w:t xml:space="preserve">            </w:t>
      </w:r>
      <w:r>
        <w:rPr/>
        <w:t xml:space="preserve">zamówienia objętego Przedmiotem Umowy, która kształtuje treść zobowiązania    </w:t>
      </w:r>
    </w:p>
    <w:p>
      <w:pPr>
        <w:pStyle w:val="Tretekstu"/>
        <w:jc w:val="both"/>
        <w:rPr/>
      </w:pPr>
      <w:r>
        <w:rPr/>
        <w:t xml:space="preserve">          </w:t>
      </w:r>
      <w:r>
        <w:rPr/>
        <w:t>Dostawcy wraz z postanowieniami niniejszej umowy.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widowControl/>
        <w:overflowPunct w:val="false"/>
        <w:bidi w:val="0"/>
        <w:ind w:left="1134" w:right="0" w:hanging="0"/>
        <w:jc w:val="both"/>
        <w:rPr/>
      </w:pPr>
      <w:r>
        <w:rPr/>
        <w:t xml:space="preserve">1.3. Dostawca oświadcza, że posiada doświadczenie w sprzedaży i wdrożeniu       oprogramowania składającego się na Przedmiot Umowy, ponadto oświadcza również, że Przedmiot Umowy posiada wszelkie niezbędne parametry użytkowe, jest wolny od jakichkolwiek wad prawnych i jest zdatny do użytku zgodnego         z jego przeznaczeniem i założonym celem. 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1.4.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dokumenty dopuszczające przedmiot zamówienia do obrotu;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umowy,</w:t>
      </w:r>
    </w:p>
    <w:p>
      <w:pPr>
        <w:pStyle w:val="Tretekstu"/>
        <w:ind w:left="1416" w:hanging="0"/>
        <w:rPr/>
      </w:pPr>
      <w:r>
        <w:rPr/>
        <w:t>1.4.3 odpowiednie licencje i uprawnienia w zakresie umożliwiającym korzystanie przez Odbiorcę.</w:t>
      </w:r>
    </w:p>
    <w:p>
      <w:pPr>
        <w:pStyle w:val="Normal"/>
        <w:ind w:left="680" w:hanging="0"/>
        <w:rPr>
          <w:b/>
          <w:b/>
        </w:rPr>
      </w:pPr>
      <w:r>
        <w:rPr>
          <w:b/>
        </w:rPr>
      </w:r>
    </w:p>
    <w:p>
      <w:pPr>
        <w:pStyle w:val="Normal"/>
        <w:ind w:left="680" w:hanging="0"/>
        <w:rPr/>
      </w:pPr>
      <w:r>
        <w:rPr>
          <w:b/>
        </w:rPr>
        <w:t>2.  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  </w:t>
      </w:r>
      <w:r>
        <w:rPr/>
        <w:t>2.1. Wartość Przedmiotu Umowy strony ustaliły na _________</w:t>
      </w:r>
      <w:r>
        <w:rPr>
          <w:b/>
        </w:rPr>
        <w:t xml:space="preserve"> zł (</w:t>
      </w:r>
      <w:r>
        <w:rPr/>
        <w:t>słownie:</w:t>
      </w:r>
    </w:p>
    <w:p>
      <w:pPr>
        <w:pStyle w:val="Normal"/>
        <w:spacing w:before="0" w:after="120"/>
        <w:ind w:hanging="0"/>
        <w:jc w:val="both"/>
        <w:rPr/>
      </w:pPr>
      <w:r>
        <w:rPr/>
        <w:t>____________________ złotych).</w:t>
      </w:r>
    </w:p>
    <w:p>
      <w:pPr>
        <w:pStyle w:val="Normal"/>
        <w:ind w:hanging="0"/>
        <w:jc w:val="both"/>
        <w:rPr/>
      </w:pPr>
      <w:r>
        <w:rPr/>
        <w:t>2.2.  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ind w:hanging="0"/>
        <w:jc w:val="both"/>
        <w:rPr/>
      </w:pPr>
      <w:r>
        <w:rPr/>
        <w:t>2.3. Cena zawiera całość kosztów, jakie Szpital zobowiązany będzie ponieść w związku z realizacją niniejszej umowy i pozyskaniem jej Przedmiotu. W szczególności na ustaloną cenę składają się dostawa, instalacja, wdrożenie, konfiguracja, przeszkolenie pracowników, koszty licencji wszelkich elementów, komponentów, wartości niematerialnych i prawnych dostarczonych przez Dostawcę w ramach realizacji Przedmiotu Umowy. Cena ma charakter ryczałtowy a dostawca oświadcza, że została ona skalkulowana należycie z uwzględnieniem wszelkich czynników, które mogłyby wpłynąć na jej wysokość.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hanging="0"/>
        <w:rPr/>
      </w:pPr>
      <w:r>
        <w:rPr>
          <w:b/>
        </w:rPr>
        <w:t>3.  Zasady dostawy Przedmiotu Umowy.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3.1. Dostawca zobowiązuje się zainstalować oraz skonfigurować Przedmiot Umowy               w Szpitalu lub w poszczególnych jego jednostkach wymienionnych w zaproszeniu, na własny koszt i ryzyko w terminie _____ od daty podpisania niniejszej umowy. </w:t>
      </w:r>
    </w:p>
    <w:p>
      <w:pPr>
        <w:pStyle w:val="Normal"/>
        <w:spacing w:before="0" w:after="120"/>
        <w:ind w:hanging="0"/>
        <w:jc w:val="both"/>
        <w:rPr/>
      </w:pPr>
      <w:r>
        <w:rPr/>
        <w:t>3.2.Wraz z Przedmiotem Umowy Dostawca zobowiązany jest przekazać Szpitalowi wszelkie dokumenty związane ze sprzedażą Przedmiotu Umowy niezbędne do wykorzystania i użytkowania Przedmiotu Umowy w sposób zgodny z jego przeznaczeniem.</w:t>
      </w:r>
    </w:p>
    <w:p>
      <w:pPr>
        <w:pStyle w:val="Normal"/>
        <w:spacing w:before="0" w:after="120"/>
        <w:ind w:hanging="0"/>
        <w:jc w:val="both"/>
        <w:rPr/>
      </w:pPr>
      <w:r>
        <w:rPr/>
        <w:t>3.3.Dostawca zobowiązany jest dochować najwyższej staranności w czasie instalacji i wdrożenia Przedmiotu Umowy.</w:t>
      </w:r>
    </w:p>
    <w:p>
      <w:pPr>
        <w:pStyle w:val="Normal"/>
        <w:spacing w:before="0" w:after="120"/>
        <w:ind w:hanging="0"/>
        <w:jc w:val="both"/>
        <w:rPr/>
      </w:pPr>
      <w:r>
        <w:rPr/>
        <w:t>3.4. Dostawca zainstaluje wszystkie komponenty Przedmiotu Umowy tak aby możliwe było ich prawidłowe uruchomienie, konfiguracja zespolenie systemowe i użytkowanie.</w:t>
      </w:r>
    </w:p>
    <w:p>
      <w:pPr>
        <w:pStyle w:val="Normal"/>
        <w:ind w:hanging="0"/>
        <w:rPr/>
      </w:pPr>
      <w:r>
        <w:rPr>
          <w:b/>
        </w:rPr>
        <w:t>4. 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4.1.Zapłata za przedmiot umowy, o której mowa w ustępie 2.1. niniejszej umowy zostanie dokonana przez Szpital w formie przelewu bankowego na wskazany przez Dostawcę w treści wystawionej faktury VAT lub na wskazany w inny sposób rachunek bankowy w terminie </w:t>
      </w:r>
      <w:r>
        <w:rPr>
          <w:sz w:val="22"/>
          <w:szCs w:val="22"/>
          <w:highlight w:val="white"/>
        </w:rPr>
        <w:t xml:space="preserve"> </w:t>
      </w:r>
      <w:r>
        <w:rPr>
          <w:highlight w:val="white"/>
        </w:rPr>
        <w:t>do 30 dni na pod</w:t>
      </w:r>
      <w:r>
        <w:rPr/>
        <w:t>stawie wystawionej  faktury VAT</w:t>
      </w:r>
      <w:r>
        <w:rPr>
          <w:b/>
          <w:bCs/>
        </w:rPr>
        <w:t>.</w:t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4.2.Strony postanawiają, że Dostawca będzie uprawniony do wystawienia odpowiedniej faktury VAT, po podpisaniu protokołu potwierdzającego przekazanie, odbiór sprzętu komputerowego, jego instalację, konfigurację i przeszkolenie personelu Szpitala. </w:t>
      </w:r>
    </w:p>
    <w:p>
      <w:pPr>
        <w:pStyle w:val="Normal"/>
        <w:ind w:hanging="0"/>
        <w:jc w:val="both"/>
        <w:rPr/>
      </w:pPr>
      <w:r>
        <w:rPr/>
        <w:t>4.3.Dla określenia terminu zapłaty strony przyjmują dzień obciążenia rachunku bankowego Szpitala.</w:t>
      </w:r>
    </w:p>
    <w:p>
      <w:pPr>
        <w:pStyle w:val="Normal"/>
        <w:ind w:left="1361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hanging="0"/>
        <w:rPr/>
      </w:pPr>
      <w:r>
        <w:rPr/>
        <w:t xml:space="preserve">5. 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hanging="0"/>
        <w:jc w:val="both"/>
        <w:rPr/>
      </w:pPr>
      <w:r>
        <w:rPr/>
        <w:t>5.1. Dostawca wramach zakupu aktualizacji i w okresie ich obowiązywania,  zapewnia dostęp do wszelkich aktualizacji związanych z dostosowaniem oprogramowania do aktualnych przepisów prawnych jak i dostępem do nowszych wersji programu bez dodatkowych płatności na rzecz Dostawcy.</w:t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ind w:hanging="0"/>
        <w:rPr/>
      </w:pPr>
      <w:r>
        <w:rPr>
          <w:b/>
        </w:rPr>
        <w:t>6. Odpowiedzialność i Kary umowne.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6.1.Dostawca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spacing w:before="0" w:after="120"/>
        <w:ind w:hanging="0"/>
        <w:jc w:val="both"/>
        <w:rPr/>
      </w:pPr>
      <w:r>
        <w:rPr/>
        <w:t>6.2.Strony ustalają, że w razie niewykonania lub nienależytego wykonania niniejszej umowy obowiązywać je będzie odszkodowanie w formie kar umownych z następujących tytułów:</w:t>
      </w:r>
    </w:p>
    <w:p>
      <w:pPr>
        <w:pStyle w:val="Normal"/>
        <w:spacing w:before="0" w:after="120"/>
        <w:ind w:hanging="0"/>
        <w:jc w:val="both"/>
        <w:rPr/>
      </w:pPr>
      <w:r>
        <w:rPr/>
        <w:t>6.2.1. w razie opóźnienia w dostawie Przedmiotu Umowy lub dostarczeniu Przedmiotu Umowy niezgodnie z zamówieniem lub niewykonaniem szkolenia, bądź leżącej po stronie Dostawcy konfiguracji lub instalacji, Dostawca zapłaci na żądanie Szpitala karę umowną       w wysokości 0,1 % ceny, o której mowa w ustępie 2.2. niniejszej umowy, za każdy dzień opóźnienia, z tym że kara ta nie może przekroczyć 20 % wartości ceny;</w:t>
      </w:r>
    </w:p>
    <w:p>
      <w:pPr>
        <w:pStyle w:val="Normal"/>
        <w:spacing w:before="0" w:after="120"/>
        <w:ind w:hanging="0"/>
        <w:jc w:val="both"/>
        <w:rPr/>
      </w:pPr>
      <w:r>
        <w:rPr/>
        <w:t xml:space="preserve">6.2.2. w razie odstąpienia Szpitala od Umowy, z przyczyn leżących po stronie Dostawcy, zapłaci on na żądanie Szpitala karę umowną w wysokości 10 % ceny, o której mowa             w ustępie 2.2. niniejszej umowy </w:t>
      </w:r>
    </w:p>
    <w:p>
      <w:pPr>
        <w:pStyle w:val="Normal"/>
        <w:spacing w:before="0" w:after="120"/>
        <w:ind w:hanging="0"/>
        <w:jc w:val="both"/>
        <w:rPr/>
      </w:pPr>
      <w:r>
        <w:rPr/>
        <w:t>6.3. 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spacing w:before="0" w:after="120"/>
        <w:ind w:hanging="0"/>
        <w:jc w:val="both"/>
        <w:rPr/>
      </w:pPr>
      <w:r>
        <w:rPr/>
        <w:t>6.4. Szpital może dochodzić od Dostawcy odszkodowanie przewyższające wartość zastrzeżonej kary umownej.</w:t>
      </w:r>
    </w:p>
    <w:p>
      <w:pPr>
        <w:pStyle w:val="Normal"/>
        <w:ind w:hanging="0"/>
        <w:jc w:val="both"/>
        <w:rPr/>
      </w:pPr>
      <w:r>
        <w:rPr/>
        <w:t>6.5. Szpital może potrącić należną karę umowną z przysługującą Dostawcy a niezapłaconą jeszcze ratą/ratami ceny sprzedaży.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6.6. Przy tworzeniu Oprogramowania dołożono wszelkich starań, aby działało ono poprawnie. Z uwagi jednak na złożony charakter produktów informatycznych Dostawca nie odpowiada wobec Szpitala bądź jego pacjentów za jakiekolwiek szkody powstałe w związku                    z koszystaniem z Oprogramowania lub jego obsługą, w tym szkody pośrednie, z wyjątkiem szkody wywołanej z winy umyślnej lub niedbalstwa.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ind w:hanging="0"/>
        <w:rPr/>
      </w:pPr>
      <w:r>
        <w:rPr>
          <w:b/>
        </w:rPr>
        <w:t>7.</w:t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before="0" w:after="120"/>
        <w:ind w:hanging="0"/>
        <w:jc w:val="both"/>
        <w:rPr/>
      </w:pPr>
      <w:r>
        <w:rPr/>
        <w:t xml:space="preserve">7.1.Wszelkie zmiany, jakie strony chciałyby wprowadzić do ustaleń wynikających                   z przedmiotowej umowy wymagają pod rygorem nieważności formy </w:t>
      </w:r>
      <w:bookmarkStart w:id="0" w:name="_GoBack"/>
      <w:bookmarkEnd w:id="0"/>
      <w:r>
        <w:rPr/>
        <w:t>pisemnej  i zgody obu stron.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before="0" w:after="120"/>
        <w:ind w:left="1361" w:hanging="0"/>
        <w:jc w:val="both"/>
        <w:rPr/>
      </w:pPr>
      <w:r>
        <w:rPr/>
      </w:r>
    </w:p>
    <w:p>
      <w:pPr>
        <w:pStyle w:val="Normal"/>
        <w:ind w:hanging="0"/>
        <w:rPr/>
      </w:pPr>
      <w:r>
        <w:rPr>
          <w:b/>
        </w:rPr>
        <w:t>8.        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 xml:space="preserve">8.1.Strony zobowiązują się do zachowania w tajemnicy wszelkich informacji pozostających w związku z wykonaniem niniejszej umowy, chyba że obowiązek przekazania informacji dotyczących zawarcia realizacji lub wykonania niniejszej umowy wynikał będzie                     z obowiązujących przepisów prawa. 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8.2.Strony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8.3. Dostawca nie może bez zgody Szpitala dokonywać cesji wierzytelności wynikających       z niniejszej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8.4.Każda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 xml:space="preserve">8.5.Gdyby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8.6.Wszelkie załączniki wymienione w treści niniejszej umowy stanowią jej integralną część.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8.7.W sprawach nieuregulowanych niniejszą umową mają zastosowanie przepisy Kodeksu cywilnego oraz inne odpowiednie przepisy obowiązującego prawa.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8.8.Ewentualne spory powstałe na tle stosowania niniejszej umowy podlegają rozstrzygnięciu przez Sąd właściwy według siedziby Szpitala.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hanging="0"/>
        <w:jc w:val="both"/>
        <w:rPr/>
      </w:pPr>
      <w:r>
        <w:rPr/>
        <w:t>8.9.Umowę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</w:rPr>
        <w:t>9. KLAUZULA INFORMACYJNA DOTYCZĄCA PRZETWARZANIA DANYCH OSOBOWYCH.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1. Administratorem Pani/Pana danych osobowych jest </w:t>
      </w:r>
      <w:r>
        <w:rPr>
          <w:rFonts w:eastAsia="Times New Roman" w:cs="Times New Roman"/>
          <w:i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2. E-mail do Inspektora ochrony danych osobowych w </w:t>
      </w:r>
      <w:r>
        <w:rPr>
          <w:rFonts w:eastAsia="Times New Roman" w:cs="Times New Roman"/>
          <w:i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>3.  Pani/Pana dane osobowe przetwarzane będą 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 prowadzenia</w:t>
      </w:r>
      <w:r>
        <w:rPr>
          <w:rFonts w:cs="Times New Roman"/>
        </w:rPr>
        <w:t xml:space="preserve"> postępowania o udzielenie zamówienia publicznego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  <w:b/>
        </w:rPr>
        <w:t>4. Odbiorcami Pani/Pana danych osobowych będą osoby lub podmioty, którym udostępniona zostanie dokumentacja postępowania w oparciu o art. 8 oraz art. 96 ust. 3 ustawy z dnia 29 stycznia 2004 r. – Prawo zamówień publicznych (Dz. U. z 2019. poz. 1843 z póxniejszymi zmianami), dalej „ustawa Pzp”.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cs="Times New Roman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8. Posiada Pani/Pan: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 na podstawie art. 15 RODO prawo dostępu do danych osobowych Pani/Pana dotyczących;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vertAlign w:val="superscript"/>
          <w:lang w:eastAsia="pl-PL"/>
        </w:rPr>
        <w:t>*</w:t>
      </w:r>
      <w:r>
        <w:rPr>
          <w:rFonts w:eastAsia="Times New Roman" w:cs="Times New Roman"/>
          <w:lang w:eastAsia="pl-PL"/>
        </w:rPr>
        <w:t>;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9.    nie przysługuje Pani/Panu: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w związku z art. 17 ust. 3 lit. b, d lub e RODO prawo do usunięcia danych   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osobowych;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przenoszenia danych osobowych, o którym mowa w art. 20 RODO;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tru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>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jc w:val="both"/>
        <w:rPr/>
      </w:pPr>
      <w:r>
        <w:rPr>
          <w:rFonts w:cs="Times New Roman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* Skorzystanie z prawa do sprostowania nie może skutkować zmianą wyniku postępowania       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 xml:space="preserve">        </w:t>
      </w:r>
      <w:r>
        <w:rPr>
          <w:rFonts w:cs="Times New Roman"/>
          <w:b/>
          <w:highlight w:val="white"/>
        </w:rPr>
        <w:t>ODBIORCA                                                                                 DOSTAWCA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  <w:i w:val="false"/>
    </w:rPr>
  </w:style>
  <w:style w:type="character" w:styleId="ListLabel93">
    <w:name w:val="ListLabel 93"/>
    <w:qFormat/>
    <w:rPr>
      <w:b w:val="false"/>
      <w:i w:val="false"/>
    </w:rPr>
  </w:style>
  <w:style w:type="character" w:styleId="ListLabel94">
    <w:name w:val="ListLabel 94"/>
    <w:qFormat/>
    <w:rPr>
      <w:b/>
      <w:i w:val="false"/>
    </w:rPr>
  </w:style>
  <w:style w:type="character" w:styleId="ListLabel95">
    <w:name w:val="ListLabel 95"/>
    <w:qFormat/>
    <w:rPr>
      <w:b w:val="false"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/>
      <w:i w:val="false"/>
    </w:rPr>
  </w:style>
  <w:style w:type="character" w:styleId="ListLabel99">
    <w:name w:val="ListLabel 99"/>
    <w:qFormat/>
    <w:rPr>
      <w:b w:val="false"/>
      <w:i w:val="false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LibreOffice/5.2.1.2$Windows_x86 LibreOffice_project/31dd62db80d4e60af04904455ec9c9219178d620</Application>
  <Pages>6</Pages>
  <Words>1925</Words>
  <Characters>12650</Characters>
  <CharactersWithSpaces>15028</CharactersWithSpaces>
  <Paragraphs>97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2019-12-11T10:31:00Z</dcterms:created>
  <dc:creator>SPZOZ_PROSZOWICE</dc:creator>
  <dc:description/>
  <dc:language>pl-PL</dc:language>
  <cp:lastModifiedBy/>
  <cp:lastPrinted>2020-01-29T14:35:05Z</cp:lastPrinted>
  <dcterms:modified xsi:type="dcterms:W3CDTF">2020-01-29T14:36:48Z</dcterms:modified>
  <cp:revision>19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