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12/ZP/2020</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sz w:val="24"/>
          <w:szCs w:val="24"/>
        </w:rPr>
      </w:pPr>
      <w:r>
        <w:rPr>
          <w:rFonts w:cs="Arial" w:ascii="Arial" w:hAnsi="Arial"/>
          <w:b/>
          <w:sz w:val="24"/>
          <w:szCs w:val="24"/>
          <w:u w:val="single"/>
        </w:rPr>
        <w:t>Nazwa zamówienia</w:t>
      </w:r>
      <w:r>
        <w:rPr>
          <w:rFonts w:cs="Arial" w:ascii="Arial" w:hAnsi="Arial"/>
          <w:b/>
          <w:sz w:val="24"/>
          <w:szCs w:val="24"/>
        </w:rPr>
        <w:t>:</w:t>
      </w:r>
    </w:p>
    <w:p>
      <w:pPr>
        <w:pStyle w:val="BodyText3"/>
        <w:jc w:val="center"/>
        <w:rPr>
          <w:rFonts w:ascii="Arial" w:hAnsi="Arial" w:cs="Arial"/>
          <w:b/>
          <w:b/>
          <w:sz w:val="22"/>
          <w:szCs w:val="22"/>
        </w:rPr>
      </w:pPr>
      <w:r>
        <w:rPr>
          <w:rFonts w:cs="Arial" w:ascii="Arial" w:hAnsi="Arial"/>
          <w:b/>
          <w:sz w:val="22"/>
          <w:szCs w:val="22"/>
        </w:rPr>
      </w:r>
    </w:p>
    <w:p>
      <w:pPr>
        <w:pStyle w:val="BodyText3"/>
        <w:jc w:val="center"/>
        <w:rPr>
          <w:sz w:val="24"/>
          <w:szCs w:val="24"/>
        </w:rPr>
      </w:pPr>
      <w:r>
        <w:rPr>
          <w:rFonts w:cs="Arial" w:ascii="Arial" w:hAnsi="Arial"/>
          <w:b/>
          <w:color w:val="000000"/>
          <w:sz w:val="24"/>
          <w:szCs w:val="24"/>
          <w:highlight w:val="white"/>
          <w:u w:val="none"/>
        </w:rPr>
        <w:t>Dostawa podłoży do hodowli drobnoustrojów z krwi i płynów ustrojowych wraz                  z dzierżawą aparatu i testów identyfikacyjnych i testów do oznaczania    lekowrażliwości w MIC i SIR oraz materiałów zużywalnych do automatycznego analizatora bakteriologicznego wraz z dzierżawą analizatora</w:t>
      </w:r>
    </w:p>
    <w:p>
      <w:pPr>
        <w:pStyle w:val="Normal"/>
        <w:jc w:val="both"/>
        <w:rPr>
          <w:rFonts w:ascii="Times New Roman" w:hAnsi="Times New Roman" w:cs="Arial"/>
          <w:b/>
          <w:b/>
          <w:color w:val="000000"/>
          <w:sz w:val="24"/>
          <w:szCs w:val="24"/>
          <w:highlight w:val="white"/>
          <w:u w:val="none"/>
        </w:rPr>
      </w:pPr>
      <w:r>
        <w:rPr>
          <w:rFonts w:cs="Arial"/>
          <w:b/>
          <w:color w:val="000000"/>
          <w:sz w:val="24"/>
          <w:szCs w:val="24"/>
          <w:highlight w:val="white"/>
          <w:u w:val="non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w:t>
        </w:r>
      </w:hyperlink>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Kwiecień 2020 r.</w:t>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t:</w:t>
      </w:r>
    </w:p>
    <w:p>
      <w:pPr>
        <w:pStyle w:val="Normal"/>
        <w:jc w:val="both"/>
        <w:rPr/>
      </w:pPr>
      <w:r>
        <w:rPr>
          <w:rFonts w:cs="Arial" w:ascii="Arial" w:hAnsi="Arial"/>
          <w:b w:val="false"/>
          <w:bCs w:val="false"/>
          <w:color w:val="00000A"/>
          <w:sz w:val="22"/>
          <w:szCs w:val="22"/>
        </w:rPr>
        <w:t xml:space="preserve">-  </w:t>
      </w:r>
      <w:r>
        <w:rPr>
          <w:rFonts w:cs="Arial" w:ascii="Arial" w:hAnsi="Arial"/>
          <w:b w:val="false"/>
          <w:bCs w:val="false"/>
          <w:i w:val="false"/>
          <w:iCs w:val="false"/>
          <w:color w:val="000000"/>
          <w:sz w:val="22"/>
          <w:szCs w:val="22"/>
          <w:highlight w:val="white"/>
          <w:u w:val="none"/>
        </w:rPr>
        <w:t>dostawa podłoży do hodowli drobnoustrojów z krwi i płynów ustrojowych wraz z dzierżawą aparatu do hodowli drobnoustrojów z krwi i płynów ustrojowych;</w:t>
      </w:r>
    </w:p>
    <w:p>
      <w:pPr>
        <w:pStyle w:val="Normal"/>
        <w:jc w:val="both"/>
        <w:rPr/>
      </w:pPr>
      <w:r>
        <w:rPr>
          <w:rFonts w:cs="Arial" w:ascii="Arial" w:hAnsi="Arial"/>
          <w:b w:val="false"/>
          <w:bCs w:val="false"/>
          <w:i w:val="false"/>
          <w:iCs w:val="false"/>
          <w:color w:val="000000"/>
          <w:sz w:val="22"/>
          <w:szCs w:val="22"/>
          <w:highlight w:val="white"/>
          <w:u w:val="none"/>
        </w:rPr>
        <w:t xml:space="preserve">-  dostawa testów identyfikacyjnych i testów do oznaczania lekowrażliwości  w MIC i SIR oraz  materiałów zużywalnych do automatycznego analizatora bakteriologicznego wraz z dzierżawą </w:t>
      </w:r>
      <w:r>
        <w:rPr>
          <w:rFonts w:cs="Arial" w:ascii="Arial" w:hAnsi="Arial"/>
          <w:b/>
          <w:bCs w:val="false"/>
          <w:i w:val="false"/>
          <w:iCs w:val="false"/>
          <w:color w:val="000000"/>
          <w:sz w:val="26"/>
          <w:szCs w:val="26"/>
          <w:highlight w:val="white"/>
          <w:u w:val="none"/>
        </w:rPr>
        <w:t xml:space="preserve">  </w:t>
      </w:r>
      <w:r>
        <w:rPr>
          <w:rFonts w:cs="Arial" w:ascii="Arial" w:hAnsi="Arial"/>
          <w:b w:val="false"/>
          <w:bCs w:val="false"/>
          <w:i w:val="false"/>
          <w:iCs w:val="false"/>
          <w:color w:val="000000"/>
          <w:sz w:val="22"/>
          <w:szCs w:val="22"/>
          <w:highlight w:val="white"/>
          <w:u w:val="none"/>
        </w:rPr>
        <w:t>automatycznego analizatora bakteriologicznego do identyfikacji i oznaczania lekowrażliwości         w MIC i SIR.</w:t>
      </w:r>
    </w:p>
    <w:p>
      <w:pPr>
        <w:pStyle w:val="Normal"/>
        <w:jc w:val="both"/>
        <w:rPr>
          <w:rFonts w:ascii="Arial" w:hAnsi="Arial" w:cs="Arial"/>
          <w:b w:val="false"/>
          <w:b w:val="false"/>
          <w:bCs w:val="false"/>
          <w:i w:val="false"/>
          <w:i w:val="false"/>
          <w:iCs w:val="false"/>
          <w:color w:val="00000A"/>
          <w:sz w:val="22"/>
          <w:szCs w:val="22"/>
          <w:highlight w:val="white"/>
          <w:u w:val="none"/>
        </w:rPr>
      </w:pPr>
      <w:r>
        <w:rPr>
          <w:rFonts w:cs="Arial" w:ascii="Arial" w:hAnsi="Arial"/>
          <w:b w:val="false"/>
          <w:bCs w:val="false"/>
          <w:i w:val="false"/>
          <w:iCs w:val="false"/>
          <w:color w:val="00000A"/>
          <w:sz w:val="22"/>
          <w:szCs w:val="22"/>
          <w:highlight w:val="white"/>
          <w:u w:val="none"/>
        </w:rPr>
      </w:r>
    </w:p>
    <w:p>
      <w:pPr>
        <w:pStyle w:val="Normal"/>
        <w:jc w:val="both"/>
        <w:rPr/>
      </w:pPr>
      <w:r>
        <w:rPr>
          <w:rFonts w:cs="Arial" w:ascii="Arial" w:hAnsi="Arial"/>
          <w:b w:val="false"/>
          <w:bCs w:val="false"/>
          <w:sz w:val="22"/>
          <w:szCs w:val="22"/>
        </w:rPr>
        <w:t>Szczegółowy opis przedmiotu zamówienia określony został w załączniku Nr 2 do SIWZ.</w:t>
      </w:r>
    </w:p>
    <w:p>
      <w:pPr>
        <w:pStyle w:val="Normal"/>
        <w:jc w:val="both"/>
        <w:rPr>
          <w:rFonts w:ascii="Times New Roman" w:hAnsi="Times New Roman" w:cs="Arial"/>
          <w:b w:val="false"/>
          <w:b w:val="false"/>
          <w:bCs w:val="false"/>
          <w:sz w:val="22"/>
          <w:szCs w:val="22"/>
          <w:highlight w:val="white"/>
        </w:rPr>
      </w:pPr>
      <w:r>
        <w:rPr>
          <w:rFonts w:cs="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val="false"/>
          <w:bCs w:val="false"/>
          <w:sz w:val="22"/>
          <w:szCs w:val="22"/>
          <w:highlight w:val="white"/>
        </w:rPr>
        <w:t xml:space="preserve">33.69.65.00-0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Tekstpodstawowy31"/>
        <w:widowControl w:val="false"/>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r>
        <w:rPr>
          <w:rFonts w:ascii="Arial" w:hAnsi="Arial"/>
          <w:b w:val="false"/>
          <w:bCs w:val="false"/>
          <w:sz w:val="22"/>
          <w:szCs w:val="22"/>
        </w:rPr>
        <w:t xml:space="preserve">  </w:t>
      </w:r>
    </w:p>
    <w:p>
      <w:pPr>
        <w:pStyle w:val="Normal"/>
        <w:jc w:val="both"/>
        <w:rPr>
          <w:rFonts w:ascii="Arial" w:hAnsi="Arial"/>
          <w:b w:val="false"/>
          <w:b w:val="false"/>
          <w:i w:val="false"/>
          <w:i w:val="false"/>
          <w:iCs w:val="false"/>
          <w:sz w:val="22"/>
          <w:szCs w:val="22"/>
          <w:highlight w:val="magenta"/>
          <w:u w:val="none"/>
        </w:rPr>
      </w:pPr>
      <w:r>
        <w:rPr>
          <w:rFonts w:ascii="Arial" w:hAnsi="Arial"/>
          <w:b w:val="false"/>
          <w:i w:val="false"/>
          <w:iCs w:val="false"/>
          <w:sz w:val="22"/>
          <w:szCs w:val="22"/>
          <w:highlight w:val="magenta"/>
          <w:u w:val="none"/>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rFonts w:ascii="Arial" w:hAnsi="Arial"/>
          <w:sz w:val="22"/>
          <w:szCs w:val="22"/>
          <w:highlight w:val="white"/>
        </w:rPr>
      </w:pPr>
      <w:r>
        <w:rPr>
          <w:rFonts w:ascii="Arial" w:hAnsi="Arial"/>
          <w:sz w:val="22"/>
          <w:szCs w:val="22"/>
          <w:highlight w:val="white"/>
        </w:rPr>
        <w:t xml:space="preserve">Dostawy przedmiotu zamówienia odbywać się będą sukcesywnie w okresie </w:t>
      </w:r>
      <w:r>
        <w:rPr>
          <w:rFonts w:ascii="Arial" w:hAnsi="Arial"/>
          <w:b/>
          <w:bCs/>
          <w:sz w:val="22"/>
          <w:szCs w:val="22"/>
          <w:highlight w:val="white"/>
        </w:rPr>
        <w:t>24 miesięcy</w:t>
      </w:r>
      <w:r>
        <w:rPr>
          <w:rFonts w:ascii="Arial" w:hAnsi="Arial"/>
          <w:sz w:val="22"/>
          <w:szCs w:val="22"/>
          <w:highlight w:val="white"/>
        </w:rPr>
        <w:t xml:space="preserve">, od daty podpisania umowy wg pisemnych zamówień składanych przez Kierownika Laboratorium Mikrobiologicznego lub jego zastępcę. </w:t>
      </w:r>
    </w:p>
    <w:p>
      <w:pPr>
        <w:pStyle w:val="Normal"/>
        <w:jc w:val="both"/>
        <w:rPr>
          <w:rFonts w:ascii="Arial" w:hAnsi="Arial" w:cs="Arial"/>
          <w:sz w:val="22"/>
          <w:szCs w:val="22"/>
          <w:highlight w:val="white"/>
        </w:rPr>
      </w:pPr>
      <w:r>
        <w:rPr>
          <w:rFonts w:cs="Times New Roman" w:ascii="Arial" w:hAnsi="Arial"/>
          <w:sz w:val="22"/>
          <w:szCs w:val="22"/>
          <w:highlight w:val="white"/>
        </w:rPr>
        <w:t>Termin realizacji zamówienia na dostawę przedmiotu zamówienia nie dłuższy niż</w:t>
      </w:r>
      <w:r>
        <w:rPr>
          <w:rFonts w:cs="Times New Roman" w:ascii="Arial" w:hAnsi="Arial"/>
          <w:b w:val="false"/>
          <w:bCs w:val="false"/>
          <w:sz w:val="22"/>
          <w:szCs w:val="22"/>
          <w:highlight w:val="white"/>
        </w:rPr>
        <w:t xml:space="preserve"> 3</w:t>
      </w:r>
      <w:r>
        <w:rPr>
          <w:rFonts w:cs="Times New Roman" w:ascii="Arial" w:hAnsi="Arial"/>
          <w:b w:val="false"/>
          <w:bCs w:val="false"/>
          <w:sz w:val="22"/>
          <w:szCs w:val="22"/>
          <w:highlight w:val="white"/>
          <w:u w:val="none"/>
        </w:rPr>
        <w:t xml:space="preserve"> dni ro</w:t>
      </w:r>
      <w:r>
        <w:rPr>
          <w:rFonts w:cs="Times New Roman" w:ascii="Arial" w:hAnsi="Arial"/>
          <w:sz w:val="22"/>
          <w:szCs w:val="22"/>
          <w:highlight w:val="white"/>
          <w:u w:val="none"/>
        </w:rPr>
        <w:t>bocze</w:t>
      </w:r>
      <w:r>
        <w:rPr>
          <w:rFonts w:cs="Times New Roman" w:ascii="Arial" w:hAnsi="Arial"/>
          <w:sz w:val="22"/>
          <w:szCs w:val="22"/>
          <w:highlight w:val="white"/>
        </w:rPr>
        <w:t xml:space="preserve"> od daty złożenia zamówienia faksem lub przy pomocy poczty elektronicznej (e-mail).</w:t>
      </w:r>
      <w:r>
        <w:rPr>
          <w:rFonts w:eastAsia="SimSun;Arial Unicode MS" w:cs="Times New Roman" w:ascii="Arial" w:hAnsi="Arial"/>
          <w:color w:val="000000"/>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r>
        <w:rPr>
          <w:rFonts w:eastAsia="SimSun;Arial Unicode MS" w:cs="Times New Roman" w:ascii="Arial" w:hAnsi="Arial"/>
          <w:color w:val="000000"/>
          <w:sz w:val="22"/>
          <w:szCs w:val="22"/>
          <w:highlight w:val="white"/>
        </w:rPr>
        <w:t>Transport i dostawy przedmiotu zamówienia odbywać się winny zgodnie z warunkami określonymi w Rozporządzeniu Ministra Zdrowia z dnia 26 lipca 2002 r.                     w sprawie Procedur Dobrej Praktyki Dystrybucyjnej (Dz. U. z 2002 r. Nr 144 poz. 1216).</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pPr>
      <w:r>
        <w:rPr>
          <w:rFonts w:eastAsia="Arial;Arial" w:cs="Arial;Arial" w:ascii="Arial" w:hAnsi="Arial"/>
          <w:b/>
          <w:bCs/>
          <w:color w:val="000000"/>
          <w:sz w:val="22"/>
          <w:szCs w:val="22"/>
        </w:rPr>
        <w:t>1) nie podlegają wykluczeniu</w:t>
      </w:r>
    </w:p>
    <w:p>
      <w:pPr>
        <w:pStyle w:val="Normal"/>
        <w:jc w:val="both"/>
        <w:rPr/>
      </w:pPr>
      <w:r>
        <w:rPr>
          <w:rFonts w:ascii="Arial" w:hAnsi="Arial"/>
          <w:b/>
          <w:bCs/>
          <w:sz w:val="22"/>
          <w:szCs w:val="22"/>
        </w:rPr>
        <w:t xml:space="preserve"> </w:t>
      </w:r>
      <w:r>
        <w:rPr>
          <w:rFonts w:ascii="Arial" w:hAnsi="Arial"/>
          <w:b/>
          <w:bCs/>
          <w:color w:val="00000A"/>
          <w:sz w:val="22"/>
          <w:szCs w:val="22"/>
        </w:rPr>
        <w:t>Z postępowania o udzielenie zamówienia wyklucza się Wykonawcę zgodnie z art. 24 ust. 1  pkt 12-23 ustawy.</w:t>
      </w:r>
    </w:p>
    <w:p>
      <w:pPr>
        <w:pStyle w:val="Default"/>
        <w:jc w:val="both"/>
        <w:rPr>
          <w:rFonts w:ascii="Arial" w:hAnsi="Arial"/>
          <w:b/>
          <w:b/>
          <w:bCs/>
          <w:color w:val="00000A"/>
          <w:sz w:val="22"/>
          <w:szCs w:val="22"/>
        </w:rPr>
      </w:pPr>
      <w:r>
        <w:rPr>
          <w:rFonts w:ascii="Arial" w:hAnsi="Arial"/>
          <w:b/>
          <w:bCs/>
          <w:color w:val="00000A"/>
          <w:sz w:val="22"/>
          <w:szCs w:val="22"/>
        </w:rPr>
      </w:r>
    </w:p>
    <w:p>
      <w:pPr>
        <w:pStyle w:val="Default"/>
        <w:jc w:val="both"/>
        <w:rPr/>
      </w:pPr>
      <w:r>
        <w:rPr>
          <w:rFonts w:ascii="Arial" w:hAnsi="Arial"/>
          <w:b/>
          <w:bCs/>
          <w:color w:val="00000A"/>
          <w:sz w:val="22"/>
          <w:szCs w:val="22"/>
        </w:rPr>
        <w:t xml:space="preserve">Zamawiający przewiduje wykluczenie Wykonawcy na podstawie art. 24 ust. 5 pkt 1 ustawy ustawy Pzp.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w:t>
        <w:br/>
        <w:t xml:space="preserve">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jc w:val="both"/>
        <w:rPr>
          <w:rFonts w:ascii="Arial" w:hAnsi="Arial"/>
          <w:sz w:val="22"/>
          <w:szCs w:val="22"/>
        </w:rPr>
      </w:pPr>
      <w:r>
        <w:rPr>
          <w:rFonts w:ascii="Arial" w:hAnsi="Arial"/>
          <w:sz w:val="22"/>
          <w:szCs w:val="22"/>
        </w:rPr>
      </w:r>
    </w:p>
    <w:p>
      <w:pPr>
        <w:pStyle w:val="Normal"/>
        <w:spacing w:before="0" w:after="0"/>
        <w:ind w:left="0" w:right="0" w:hanging="0"/>
        <w:jc w:val="both"/>
        <w:rPr/>
      </w:pPr>
      <w:r>
        <w:rPr>
          <w:rFonts w:eastAsia="Arial;Arial" w:cs="Arial;Arial" w:ascii="Arial" w:hAnsi="Arial"/>
          <w:b/>
          <w:bCs/>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spacing w:before="0" w:after="0"/>
        <w:ind w:left="0" w:right="0" w:hanging="0"/>
        <w:jc w:val="both"/>
        <w:rPr/>
      </w:pPr>
      <w:r>
        <w:rPr>
          <w:rFonts w:eastAsia="Arial;Arial" w:cs="Arial;Arial" w:ascii="Arial" w:hAnsi="Arial"/>
          <w:b/>
          <w:bCs/>
          <w:color w:val="000000"/>
          <w:sz w:val="22"/>
          <w:szCs w:val="22"/>
          <w:highlight w:val="white"/>
        </w:rPr>
        <w:t xml:space="preserve">Wykonawca nie podlega wykluczeniu, jeżeli zamawiający, uwzględniając wagę                   i szczególne okoliczności czynu wykonawcy, uzna za wystarczające dowody przedstawione na podstawie ust. 8 </w:t>
      </w:r>
    </w:p>
    <w:p>
      <w:pPr>
        <w:pStyle w:val="Normal"/>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pPr>
      <w:r>
        <w:rPr>
          <w:rFonts w:eastAsia="Arial;Arial" w:cs="Arial;Arial" w:ascii="Arial" w:hAnsi="Arial"/>
          <w:b/>
          <w:bCs/>
          <w:color w:val="000000"/>
          <w:sz w:val="22"/>
          <w:szCs w:val="22"/>
        </w:rPr>
        <w:t>2) spełniają warunki udziału w postępowaniu, dotyczące:</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spacing w:before="0" w:after="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numPr>
          <w:ilvl w:val="0"/>
          <w:numId w:val="0"/>
        </w:numPr>
        <w:spacing w:before="0" w:after="0"/>
        <w:ind w:left="720" w:right="0" w:hanging="0"/>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numPr>
          <w:ilvl w:val="0"/>
          <w:numId w:val="0"/>
        </w:numPr>
        <w:spacing w:before="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Default"/>
        <w:numPr>
          <w:ilvl w:val="0"/>
          <w:numId w:val="0"/>
        </w:numPr>
        <w:spacing w:before="0" w:after="0"/>
        <w:ind w:right="0" w:hanging="0"/>
        <w:jc w:val="both"/>
        <w:rPr>
          <w:highlight w:val="white"/>
        </w:rPr>
      </w:pPr>
      <w:r>
        <w:rPr>
          <w:rFonts w:eastAsia="Arial;Arial" w:cs="Arial;Arial" w:ascii="Arial" w:hAnsi="Arial"/>
          <w:b w:val="false"/>
          <w:bCs w:val="false"/>
          <w:strike w:val="false"/>
          <w:dstrike w:val="false"/>
          <w:color w:val="00000A"/>
          <w:sz w:val="22"/>
          <w:szCs w:val="22"/>
          <w:highlight w:val="white"/>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highlight w:val="white"/>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highlight w:val="white"/>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highlight w:val="white"/>
        </w:rPr>
      </w:pPr>
      <w:r>
        <w:rPr>
          <w:rFonts w:eastAsia="Arial;Arial" w:cs="Arial;Arial" w:ascii="Arial" w:hAnsi="Arial"/>
          <w:sz w:val="22"/>
          <w:szCs w:val="22"/>
          <w:highlight w:val="white"/>
        </w:rPr>
      </w:r>
    </w:p>
    <w:p>
      <w:pPr>
        <w:pStyle w:val="Normal"/>
        <w:widowControl/>
        <w:numPr>
          <w:ilvl w:val="0"/>
          <w:numId w:val="0"/>
        </w:numPr>
        <w:shd w:val="clear" w:fill="FFFFFF"/>
        <w:overflowPunct w:val="true"/>
        <w:bidi w:val="0"/>
        <w:ind w:left="0" w:right="0" w:hanging="0"/>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Normal"/>
        <w:widowControl/>
        <w:numPr>
          <w:ilvl w:val="0"/>
          <w:numId w:val="0"/>
        </w:numPr>
        <w:shd w:val="clear" w:fill="FFFFFF"/>
        <w:overflowPunct w:val="true"/>
        <w:bidi w:val="0"/>
        <w:ind w:left="0" w:right="0" w:hanging="0"/>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pPr>
      <w:r>
        <w:rPr>
          <w:rFonts w:ascii="Arial" w:hAnsi="Arial"/>
          <w:b w:val="false"/>
          <w:bCs w:val="false"/>
          <w:sz w:val="22"/>
          <w:szCs w:val="22"/>
        </w:rPr>
        <w:t>c)  Wypełniony i podpisany  Formularz asortymentowo - cenowy (Załącznik Nr 2 do SIWZ)</w:t>
      </w:r>
    </w:p>
    <w:p>
      <w:pPr>
        <w:pStyle w:val="Normal"/>
        <w:shd w:val="clear" w:fill="FFFFFF"/>
        <w:spacing w:before="120" w:after="0"/>
        <w:ind w:right="0" w:hanging="0"/>
        <w:jc w:val="both"/>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pPr>
      <w:r>
        <w:rPr>
          <w:rFonts w:ascii="Arial" w:hAnsi="Arial"/>
          <w:b/>
          <w:bCs/>
          <w:sz w:val="22"/>
          <w:szCs w:val="22"/>
        </w:rPr>
        <w:t>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shd w:val="clear" w:fill="FFFFFF"/>
        <w:spacing w:before="120" w:after="0"/>
        <w:ind w:right="0" w:hanging="0"/>
        <w:jc w:val="both"/>
        <w:rPr>
          <w:rFonts w:ascii="Arial" w:hAnsi="Arial"/>
          <w:b/>
          <w:b/>
          <w:bCs/>
          <w:i w:val="false"/>
          <w:i w:val="false"/>
          <w:iCs w:val="false"/>
          <w:caps w:val="false"/>
          <w:smallCaps w:val="false"/>
          <w:color w:val="000000"/>
          <w:spacing w:val="0"/>
          <w:sz w:val="22"/>
          <w:szCs w:val="22"/>
        </w:rPr>
      </w:pPr>
      <w:r>
        <w:rPr>
          <w:rFonts w:ascii="Arial" w:hAnsi="Arial"/>
          <w:b/>
          <w:bCs/>
          <w:i w:val="false"/>
          <w:iCs w:val="false"/>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jc w:val="both"/>
        <w:rPr/>
      </w:pPr>
      <w:r>
        <w:rPr>
          <w:rFonts w:cs="Arial" w:ascii="Arial" w:hAnsi="Arial"/>
          <w:b w:val="false"/>
          <w:bCs w:val="false"/>
          <w:i w:val="false"/>
          <w:iCs/>
          <w:caps w:val="false"/>
          <w:smallCaps w:val="false"/>
          <w:color w:val="000000"/>
          <w:spacing w:val="0"/>
          <w:sz w:val="22"/>
          <w:szCs w:val="22"/>
        </w:rPr>
        <w:t>|____________________________________</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cs="Arial"/>
          <w:sz w:val="22"/>
          <w:szCs w:val="22"/>
          <w:highlight w:val="white"/>
        </w:rPr>
      </w:pPr>
      <w:r>
        <w:rPr>
          <w:rFonts w:cs="Arial" w:ascii="Arial" w:hAnsi="Arial"/>
          <w:sz w:val="22"/>
          <w:szCs w:val="22"/>
          <w:highlight w:val="white"/>
        </w:rPr>
        <w:t xml:space="preserve">a)  Deklarację zgodności producenta (dotyczy wszystkich wyrobów medycznych i wyrobów medycznych do diagnostyki in vitro).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b)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c)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 Dla preparatów niebezpiecznych karty charakterystyki.</w:t>
      </w:r>
    </w:p>
    <w:p>
      <w:pPr>
        <w:pStyle w:val="Normal"/>
        <w:shd w:val="clear" w:fill="FFFFFF"/>
        <w:spacing w:before="120" w:after="0"/>
        <w:ind w:left="0" w:right="0" w:hanging="0"/>
        <w:jc w:val="both"/>
        <w:rPr>
          <w:rFonts w:ascii="Arial" w:hAnsi="Arial"/>
          <w:b/>
          <w:b/>
          <w:bCs/>
          <w:i/>
          <w:i/>
          <w:color w:val="000000"/>
          <w:sz w:val="22"/>
          <w:szCs w:val="22"/>
          <w:highlight w:val="white"/>
        </w:rPr>
      </w:pPr>
      <w:r>
        <w:rPr>
          <w:rFonts w:ascii="Arial" w:hAnsi="Arial"/>
          <w:b/>
          <w:bCs/>
          <w:i/>
          <w:color w:val="000000"/>
          <w:sz w:val="22"/>
          <w:szCs w:val="22"/>
          <w:highlight w:val="white"/>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 ubiegają się o udzielenie zamówienia – oświadczenia, o których mowa w pkt  1. a) i b),  powinien złożyć każdy z Wykonawców. W przypadku, gdy Wykonawcy wspólnie ubiegają się o udzielenie zamówienia, do oferty powinno być dołączone pełnomocnictwo dla ustanowionego pełnomocnika, o którym mowa w art. 23 ust. 2 ustawy Pzp.</w:t>
      </w:r>
    </w:p>
    <w:p>
      <w:pPr>
        <w:pStyle w:val="Normal"/>
        <w:ind w:left="45" w:right="0" w:hanging="0"/>
        <w:jc w:val="both"/>
        <w:rPr>
          <w:rFonts w:ascii="Arial" w:hAnsi="Arial"/>
          <w:color w:val="000000"/>
          <w:sz w:val="22"/>
          <w:szCs w:val="22"/>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t>
      </w:r>
      <w:r>
        <w:rPr>
          <w:rFonts w:ascii="Arial" w:hAnsi="Arial"/>
          <w:color w:val="000000"/>
          <w:sz w:val="22"/>
          <w:szCs w:val="22"/>
        </w:rPr>
        <w:t xml:space="preserve">wspólnie działalność gospodarczą  lub są wspólnikami </w:t>
      </w:r>
      <w:r>
        <w:rPr>
          <w:rFonts w:ascii="Arial" w:hAnsi="Arial"/>
          <w:b/>
          <w:bCs/>
          <w:color w:val="000000"/>
          <w:sz w:val="22"/>
          <w:szCs w:val="22"/>
        </w:rPr>
        <w:t>spółki cywilnej.</w:t>
      </w:r>
      <w:r>
        <w:rPr>
          <w:rFonts w:ascii="Arial" w:hAnsi="Arial"/>
          <w:color w:val="000000"/>
          <w:sz w:val="22"/>
          <w:szCs w:val="22"/>
        </w:rPr>
        <w:t xml:space="preserve"> </w:t>
      </w:r>
    </w:p>
    <w:p>
      <w:pPr>
        <w:pStyle w:val="Normal"/>
        <w:ind w:left="45" w:right="0" w:hanging="0"/>
        <w:jc w:val="both"/>
        <w:rPr>
          <w:rFonts w:ascii="Arial" w:hAnsi="Arial"/>
          <w:color w:val="000000"/>
          <w:sz w:val="22"/>
          <w:szCs w:val="22"/>
        </w:rPr>
      </w:pPr>
      <w:r>
        <w:rPr>
          <w:rFonts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5. Oświadczenie dotyczące grupy kapitałowej</w:t>
      </w:r>
    </w:p>
    <w:p>
      <w:pPr>
        <w:pStyle w:val="ListParagraph"/>
        <w:widowControl w:val="false"/>
        <w:numPr>
          <w:ilvl w:val="0"/>
          <w:numId w:val="5"/>
        </w:numPr>
        <w:jc w:val="both"/>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5"/>
        </w:numPr>
        <w:jc w:val="both"/>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5"/>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5"/>
        </w:numPr>
        <w:jc w:val="both"/>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5"/>
        </w:numPr>
        <w:jc w:val="both"/>
        <w:rPr/>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pPr>
        <w:pStyle w:val="Normal"/>
        <w:numPr>
          <w:ilvl w:val="0"/>
          <w:numId w:val="0"/>
        </w:numPr>
        <w:ind w:left="72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widowControl w:val="false"/>
        <w:numPr>
          <w:ilvl w:val="0"/>
          <w:numId w:val="6"/>
        </w:numPr>
        <w:rPr/>
      </w:pPr>
      <w:r>
        <w:rPr>
          <w:rFonts w:cs="Arial" w:ascii="Arial" w:hAnsi="Arial"/>
          <w:i w:val="false"/>
          <w:iCs w:val="false"/>
          <w:sz w:val="22"/>
          <w:szCs w:val="22"/>
          <w:highlight w:val="white"/>
        </w:rPr>
        <w:t>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6"/>
        </w:numPr>
        <w:jc w:val="both"/>
        <w:rPr/>
      </w:pPr>
      <w:r>
        <w:rPr>
          <w:rFonts w:cs="Arial" w:ascii="Arial" w:hAnsi="Arial"/>
          <w:i w:val="false"/>
          <w:iCs w:val="false"/>
          <w:sz w:val="22"/>
          <w:szCs w:val="22"/>
          <w:highlight w:val="white"/>
        </w:rPr>
        <w:t>Do porozumiewania się z Wykonawcami uprawniona jest Justyna Starek, Marianna Maj,                                  tel. (12) 386 -52-14,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6"/>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„Sekcja Zamówień Publicznych – dotyczy Postępowania nr 12/ZP/2020”.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6"/>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6"/>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dzp@spzoz.proszowice.pl</w:t>
      </w:r>
      <w:r>
        <w:rPr>
          <w:rFonts w:eastAsia="Arial;Arial" w:cs="Arial;Arial" w:ascii="Arial" w:hAnsi="Arial"/>
          <w:b w:val="false"/>
          <w:bCs w:val="false"/>
          <w:sz w:val="22"/>
          <w:szCs w:val="22"/>
        </w:rPr>
        <w:t xml:space="preserve"> (Zamawiający zaleca przesyłanie zapytań dotyczących treści Specyfikacji drogą email w pliku WORD, ODT, PDF).</w:t>
      </w:r>
    </w:p>
    <w:p>
      <w:pPr>
        <w:pStyle w:val="Default"/>
        <w:spacing w:before="0" w:after="111"/>
        <w:jc w:val="both"/>
        <w:rPr/>
      </w:pPr>
      <w:r>
        <w:rPr>
          <w:rFonts w:eastAsia="Arial;Arial" w:cs="Arial;Arial" w:ascii="Arial" w:hAnsi="Arial"/>
          <w:b w:val="false"/>
          <w:bCs w:val="false"/>
          <w:sz w:val="22"/>
          <w:szCs w:val="22"/>
        </w:rPr>
        <w:t>Lub</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highlight w:val="white"/>
          <w:u w:val="single"/>
        </w:rPr>
      </w:pPr>
      <w:r>
        <w:rPr>
          <w:rFonts w:ascii="Arial" w:hAnsi="Arial"/>
          <w:b/>
          <w:sz w:val="22"/>
          <w:szCs w:val="22"/>
          <w:highlight w:val="white"/>
          <w:u w:val="single"/>
        </w:rPr>
        <w:t>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highlight w:val="white"/>
        </w:rPr>
      </w:pPr>
      <w:r>
        <w:rPr>
          <w:rFonts w:ascii="Arial" w:hAnsi="Arial"/>
          <w:b/>
          <w:sz w:val="22"/>
          <w:szCs w:val="22"/>
          <w:highlight w:val="white"/>
        </w:rPr>
        <w:t>1.   Informacje ogólne</w:t>
      </w:r>
    </w:p>
    <w:p>
      <w:pPr>
        <w:pStyle w:val="Normal"/>
        <w:ind w:left="720" w:right="0" w:hanging="0"/>
        <w:jc w:val="both"/>
        <w:rPr>
          <w:rFonts w:ascii="Arial" w:hAnsi="Arial" w:cs="Arial"/>
          <w:sz w:val="22"/>
          <w:szCs w:val="22"/>
        </w:rPr>
      </w:pPr>
      <w:r>
        <w:rPr>
          <w:rFonts w:cs="Arial" w:ascii="Arial" w:hAnsi="Arial"/>
          <w:sz w:val="22"/>
          <w:szCs w:val="22"/>
        </w:rPr>
      </w:r>
    </w:p>
    <w:p>
      <w:pPr>
        <w:pStyle w:val="Normal"/>
        <w:numPr>
          <w:ilvl w:val="0"/>
          <w:numId w:val="3"/>
        </w:numPr>
        <w:jc w:val="both"/>
        <w:rPr/>
      </w:pPr>
      <w:r>
        <w:rPr>
          <w:rStyle w:val="Domylnaczcionkaakapitu"/>
          <w:rFonts w:cs="Arial" w:ascii="Arial" w:hAnsi="Arial"/>
          <w:sz w:val="22"/>
          <w:szCs w:val="22"/>
        </w:rPr>
        <w:t xml:space="preserve">W postępowaniu o udzielenie zamówienia  komunikacja między Zamawiającym </w:t>
        <w:br/>
        <w:t xml:space="preserve">a Wykonawcami odbywa się przy użyciu miniPortalu </w:t>
      </w:r>
      <w:hyperlink r:id="rId3">
        <w:r>
          <w:rPr>
            <w:rStyle w:val="Czeinternetowe"/>
            <w:rFonts w:cs="Arial" w:ascii="Arial" w:hAnsi="Arial"/>
            <w:sz w:val="22"/>
            <w:szCs w:val="22"/>
          </w:rPr>
          <w:t>https://miniportal.uzp.gov.pl/</w:t>
        </w:r>
      </w:hyperlink>
      <w:r>
        <w:rPr>
          <w:rStyle w:val="Domylnaczcionkaakapitu"/>
          <w:rFonts w:cs="Arial" w:ascii="Arial" w:hAnsi="Arial"/>
          <w:sz w:val="22"/>
          <w:szCs w:val="22"/>
        </w:rPr>
        <w:t xml:space="preserve"> , ePUAPu </w:t>
      </w:r>
      <w:hyperlink r:id="rId4">
        <w:r>
          <w:rPr>
            <w:rStyle w:val="Czeinternetowe"/>
            <w:rFonts w:cs="Arial" w:ascii="Arial" w:hAnsi="Arial"/>
            <w:sz w:val="22"/>
            <w:szCs w:val="22"/>
          </w:rPr>
          <w:t>https://epuap.gov.pl/wps/portal</w:t>
        </w:r>
      </w:hyperlink>
      <w:r>
        <w:rPr>
          <w:rStyle w:val="Domylnaczcionkaakapitu"/>
          <w:rFonts w:cs="Arial" w:ascii="Arial" w:hAnsi="Arial"/>
          <w:sz w:val="22"/>
          <w:szCs w:val="22"/>
        </w:rPr>
        <w:t xml:space="preserve"> oraz poczty elektronicznej.</w:t>
      </w:r>
    </w:p>
    <w:p>
      <w:pPr>
        <w:pStyle w:val="Normal"/>
        <w:numPr>
          <w:ilvl w:val="0"/>
          <w:numId w:val="3"/>
        </w:numPr>
        <w:jc w:val="both"/>
        <w:rPr/>
      </w:pPr>
      <w:r>
        <w:rPr>
          <w:rStyle w:val="Domylnaczcionkaakapitu"/>
          <w:rFonts w:ascii="Arial" w:hAnsi="Arial"/>
          <w:sz w:val="22"/>
          <w:szCs w:val="22"/>
        </w:rPr>
        <w:t xml:space="preserve">Zamawiający wyznacza następujące osoby do kontaktu z Wykonawcami: Justyna Starek , Marianna Maj,   e-mail: </w:t>
      </w:r>
      <w:hyperlink r:id="rId5">
        <w:r>
          <w:rPr>
            <w:rStyle w:val="Czeinternetowe"/>
            <w:rFonts w:ascii="Arial" w:hAnsi="Arial"/>
            <w:sz w:val="22"/>
            <w:szCs w:val="22"/>
          </w:rPr>
          <w:t>dzp@spzoz.proszowice.pl</w:t>
        </w:r>
      </w:hyperlink>
    </w:p>
    <w:p>
      <w:pPr>
        <w:pStyle w:val="Normal"/>
        <w:numPr>
          <w:ilvl w:val="0"/>
          <w:numId w:val="3"/>
        </w:numPr>
        <w:jc w:val="both"/>
        <w:rPr/>
      </w:pPr>
      <w:r>
        <w:rPr>
          <w:rStyle w:val="Domylnaczcionkaakapitu"/>
          <w:rFonts w:cs="Arial" w:ascii="Arial" w:hAnsi="Arial"/>
          <w:sz w:val="22"/>
          <w:szCs w:val="22"/>
        </w:rPr>
        <w:t xml:space="preserve">Wykonawca zamierzający wziąć udział w postępowaniu o udzielenie zamówienia              publicznego, musi posiadać konto na ePUAP. Wykonawca posiadający konto na ePUAP ma dostęp do  </w:t>
      </w:r>
      <w:r>
        <w:rPr>
          <w:rStyle w:val="Domylnaczcionkaakapitu"/>
          <w:rFonts w:cs="Arial" w:ascii="Arial" w:hAnsi="Arial"/>
          <w:b/>
          <w:sz w:val="22"/>
          <w:szCs w:val="22"/>
        </w:rPr>
        <w:t>formularzy: złożenia, zmiany, wycofania oferty lub wniosku oraz do    formularza do komunikacji.</w:t>
      </w:r>
    </w:p>
    <w:p>
      <w:pPr>
        <w:pStyle w:val="Normal"/>
        <w:numPr>
          <w:ilvl w:val="0"/>
          <w:numId w:val="3"/>
        </w:numPr>
        <w:jc w:val="left"/>
        <w:rPr>
          <w:rFonts w:ascii="Arial" w:hAnsi="Arial"/>
          <w:sz w:val="22"/>
          <w:szCs w:val="22"/>
        </w:rPr>
      </w:pPr>
      <w:r>
        <w:rPr>
          <w:rFonts w:ascii="Arial" w:hAnsi="Arial"/>
          <w:sz w:val="22"/>
          <w:szCs w:val="22"/>
        </w:rPr>
        <w:t>Wymagania techniczne i organizacyjne wysyłania i odbierania dokumentów elektronicznych, elektronicznych kopii dokumentów i oświadczeń oraz informacji przekazywanych przy ich użyciu opisane zostały w Regulaminie korzystaniaz  miniPortalu  oraz  Regulaminie              ePUAP.</w:t>
      </w:r>
    </w:p>
    <w:p>
      <w:pPr>
        <w:pStyle w:val="Normal"/>
        <w:numPr>
          <w:ilvl w:val="0"/>
          <w:numId w:val="3"/>
        </w:numPr>
        <w:jc w:val="both"/>
        <w:rPr/>
      </w:pPr>
      <w:r>
        <w:rPr>
          <w:rStyle w:val="Domylnaczcionkaakapitu"/>
          <w:rFonts w:ascii="Arial" w:hAnsi="Arial"/>
          <w:sz w:val="22"/>
          <w:szCs w:val="22"/>
        </w:rPr>
        <w:t>Maksymalny rozmiar plików przesyłanych za pośrednictwem dedykowanych formularzy do: złożenia, zmiany, wycofania oferty lub wniosku oraz do komunikac</w:t>
      </w:r>
      <w:r>
        <w:rPr>
          <w:rStyle w:val="Domylnaczcionkaakapitu"/>
          <w:rFonts w:ascii="Arial" w:hAnsi="Arial"/>
          <w:sz w:val="22"/>
          <w:szCs w:val="22"/>
          <w:highlight w:val="white"/>
        </w:rPr>
        <w:t>ji wynosi 20 MB.</w:t>
      </w:r>
    </w:p>
    <w:p>
      <w:pPr>
        <w:pStyle w:val="Normal"/>
        <w:numPr>
          <w:ilvl w:val="0"/>
          <w:numId w:val="3"/>
        </w:numPr>
        <w:jc w:val="both"/>
        <w:rPr>
          <w:rFonts w:ascii="Arial" w:hAnsi="Arial"/>
          <w:sz w:val="22"/>
          <w:szCs w:val="22"/>
        </w:rPr>
      </w:pPr>
      <w:r>
        <w:rPr>
          <w:rFonts w:ascii="Arial" w:hAnsi="Arial"/>
          <w:sz w:val="22"/>
          <w:szCs w:val="22"/>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3"/>
        </w:numPr>
        <w:jc w:val="both"/>
        <w:rPr/>
      </w:pPr>
      <w:r>
        <w:rPr>
          <w:rStyle w:val="Domylnaczcionkaakapitu"/>
          <w:rFonts w:cs="Arial" w:ascii="Arial" w:hAnsi="Arial"/>
          <w:b/>
          <w:sz w:val="22"/>
          <w:szCs w:val="22"/>
          <w:highlight w:val="white"/>
          <w:u w:val="single"/>
        </w:rPr>
        <w:t xml:space="preserve">Identyfikator postępowania i klucz publiczny dla danego postępowania o udzielenie zamówienia dostępne są na </w:t>
      </w:r>
      <w:r>
        <w:rPr>
          <w:rStyle w:val="Domylnaczcionkaakapitu"/>
          <w:rFonts w:cs="Arial" w:ascii="Arial" w:hAnsi="Arial"/>
          <w:b/>
          <w:i/>
          <w:sz w:val="22"/>
          <w:szCs w:val="22"/>
          <w:highlight w:val="white"/>
          <w:u w:val="single"/>
        </w:rPr>
        <w:t>Liście wszystkich postępowań</w:t>
      </w:r>
      <w:r>
        <w:rPr>
          <w:rStyle w:val="Domylnaczcionkaakapitu"/>
          <w:rFonts w:cs="Arial" w:ascii="Arial" w:hAnsi="Arial"/>
          <w:b/>
          <w:sz w:val="22"/>
          <w:szCs w:val="22"/>
          <w:highlight w:val="white"/>
          <w:u w:val="single"/>
        </w:rPr>
        <w:t xml:space="preserve"> na miniPortalu oraz               stanowi załącznik do niniejszej SIWZ.</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Akapitzlist"/>
        <w:spacing w:lineRule="auto" w:line="276"/>
        <w:ind w:left="708" w:right="0" w:hanging="0"/>
        <w:rPr>
          <w:rFonts w:ascii="Arial" w:hAnsi="Arial" w:cs="Arial"/>
          <w:b/>
          <w:b/>
          <w:sz w:val="22"/>
          <w:szCs w:val="22"/>
        </w:rPr>
      </w:pPr>
      <w:r>
        <w:rPr>
          <w:rFonts w:cs="Arial" w:ascii="Arial" w:hAnsi="Arial"/>
          <w:b/>
          <w:sz w:val="22"/>
          <w:szCs w:val="22"/>
        </w:rPr>
        <w:t>2.  Złożenie oferty.</w:t>
      </w:r>
    </w:p>
    <w:p>
      <w:pPr>
        <w:pStyle w:val="Akapitzlist"/>
        <w:spacing w:lineRule="auto" w:line="276"/>
        <w:ind w:left="708" w:right="0" w:hanging="0"/>
        <w:rPr>
          <w:rFonts w:ascii="Arial" w:hAnsi="Arial" w:cs="Arial"/>
          <w:b/>
          <w:b/>
          <w:sz w:val="22"/>
          <w:szCs w:val="22"/>
        </w:rPr>
      </w:pPr>
      <w:r>
        <w:rPr>
          <w:rFonts w:cs="Arial" w:ascii="Arial" w:hAnsi="Arial"/>
          <w:b/>
          <w:sz w:val="22"/>
          <w:szCs w:val="22"/>
        </w:rPr>
      </w:r>
    </w:p>
    <w:p>
      <w:pPr>
        <w:pStyle w:val="Normal"/>
        <w:numPr>
          <w:ilvl w:val="0"/>
          <w:numId w:val="4"/>
        </w:numPr>
        <w:jc w:val="both"/>
        <w:rPr/>
      </w:pPr>
      <w:r>
        <w:rPr>
          <w:rStyle w:val="Domylnaczcionkaakapitu"/>
          <w:rFonts w:eastAsia="Calibri" w:cs="Arial" w:ascii="Arial" w:hAnsi="Arial"/>
          <w:sz w:val="22"/>
          <w:szCs w:val="22"/>
          <w:lang w:eastAsia="en-US"/>
        </w:rPr>
        <w:t xml:space="preserve">Wykonawca składa ofertę za pośrednictwem </w:t>
      </w:r>
      <w:r>
        <w:rPr>
          <w:rStyle w:val="Domylnaczcionkaakapitu"/>
          <w:rFonts w:eastAsia="Calibri" w:cs="Arial" w:ascii="Arial" w:hAnsi="Arial"/>
          <w:b/>
          <w:i/>
          <w:sz w:val="22"/>
          <w:szCs w:val="22"/>
          <w:lang w:eastAsia="en-US"/>
        </w:rPr>
        <w:t>Formularza do złożenia, zmiany, wycofania oferty</w:t>
      </w:r>
      <w:r>
        <w:rPr>
          <w:rStyle w:val="Domylnaczcionkaakapitu"/>
          <w:rFonts w:eastAsia="Calibri" w:cs="Arial" w:ascii="Arial" w:hAnsi="Arial"/>
          <w:b/>
          <w:sz w:val="22"/>
          <w:szCs w:val="22"/>
          <w:lang w:eastAsia="en-US"/>
        </w:rPr>
        <w:t xml:space="preserve"> </w:t>
      </w:r>
      <w:r>
        <w:rPr>
          <w:rStyle w:val="Domylnaczcionkaakapitu"/>
          <w:rFonts w:eastAsia="Calibri" w:cs="Arial" w:ascii="Arial" w:hAnsi="Arial"/>
          <w:sz w:val="22"/>
          <w:szCs w:val="22"/>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4"/>
        </w:numPr>
        <w:jc w:val="both"/>
        <w:rPr/>
      </w:pPr>
      <w:r>
        <w:rPr>
          <w:rFonts w:eastAsia="Calibri" w:cs="Arial" w:ascii="Arial" w:hAnsi="Arial"/>
          <w:b/>
          <w:sz w:val="22"/>
          <w:szCs w:val="22"/>
          <w:highlight w:val="white"/>
          <w:u w:val="single"/>
          <w:lang w:eastAsia="en-US"/>
        </w:rPr>
        <w:t xml:space="preserve">Oferta powinna być sporządzona w języku polskim, z zachowaniem postaci elektronicznej w formacie danych .txt, .pdf, .odt, .ods, .doc, .xls, .docx, .xlsx, .zip, .7Z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4"/>
        </w:numPr>
        <w:jc w:val="both"/>
        <w:rPr/>
      </w:pPr>
      <w:r>
        <w:rPr>
          <w:rFonts w:ascii="Arial" w:hAnsi="Arial"/>
          <w:sz w:val="22"/>
          <w:szCs w:val="22"/>
        </w:rPr>
        <w:t xml:space="preserve">Wszelkie informacje stanowiące tajemnicę przedsiębiorstwa w rozumieniu ustawy </w:t>
        <w:br/>
        <w:t>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pPr>
        <w:pStyle w:val="Normal"/>
        <w:numPr>
          <w:ilvl w:val="0"/>
          <w:numId w:val="4"/>
        </w:numPr>
        <w:jc w:val="both"/>
        <w:rPr/>
      </w:pPr>
      <w:r>
        <w:rPr>
          <w:rFonts w:eastAsia="Calibri" w:cs="Arial" w:ascii="Arial" w:hAnsi="Arial"/>
          <w:sz w:val="22"/>
          <w:szCs w:val="22"/>
          <w:highlight w:val="white"/>
          <w:lang w:eastAsia="en-US"/>
        </w:rPr>
        <w:t>Do oferty należy dołączyć Oświadczenia (Załącznik Nr 3 i 3a do SIWZ)  w postaci elektronicznej opatrzonej kwalifikowanym podpisem elektronicznym, a następnie wraz</w:t>
        <w:br/>
        <w:t>z plikami stanowiącymi ofertę skompresować do jednego pliku archiwum (ZIP).</w:t>
      </w:r>
    </w:p>
    <w:p>
      <w:pPr>
        <w:pStyle w:val="Normal"/>
        <w:numPr>
          <w:ilvl w:val="0"/>
          <w:numId w:val="4"/>
        </w:numPr>
        <w:jc w:val="both"/>
        <w:rPr/>
      </w:pPr>
      <w:r>
        <w:rPr>
          <w:rFonts w:ascii="Arial" w:hAnsi="Arial"/>
          <w:sz w:val="22"/>
          <w:szCs w:val="22"/>
        </w:rPr>
        <w:t xml:space="preserve">Wykonawca może przed upływem terminu do składania ofert zmienić lub wycofać ofertę za  pośrednictwem Formularza do złożenia, zmiany, wycofania oferty lub wniosku dostępnego na  ePUAP i udostępnionych również na miniPortalu. Sposób zmiany </w:t>
        <w:br/>
        <w:t xml:space="preserve"> i wycofania oferty został opisany w Instrukcji użytkownika dostępnej na miniPortalu.</w:t>
      </w:r>
    </w:p>
    <w:p>
      <w:pPr>
        <w:pStyle w:val="Normal"/>
        <w:rPr>
          <w:rFonts w:ascii="Arial" w:hAnsi="Arial"/>
          <w:sz w:val="22"/>
          <w:szCs w:val="22"/>
        </w:rPr>
      </w:pPr>
      <w:r>
        <w:rPr>
          <w:rFonts w:ascii="Arial" w:hAnsi="Arial"/>
          <w:sz w:val="22"/>
          <w:szCs w:val="22"/>
        </w:rPr>
      </w:r>
    </w:p>
    <w:p>
      <w:pPr>
        <w:pStyle w:val="Normal"/>
        <w:numPr>
          <w:ilvl w:val="0"/>
          <w:numId w:val="6"/>
        </w:numPr>
        <w:jc w:val="both"/>
        <w:rPr>
          <w:b w:val="false"/>
          <w:b w:val="false"/>
          <w:bCs w:val="false"/>
        </w:rPr>
      </w:pPr>
      <w:r>
        <w:rPr>
          <w:rFonts w:ascii="Arial" w:hAnsi="Arial"/>
          <w:b w:val="false"/>
          <w:bCs w:val="false"/>
          <w:sz w:val="22"/>
          <w:szCs w:val="22"/>
          <w:highlight w:val="white"/>
          <w:u w:val="single"/>
        </w:rPr>
        <w:t>Wykonawca po upływie terminu do składania ofert nie może skutecznie dokonać zmiany ani wycofać złożonej oferty.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ind w:left="341" w:right="0" w:hanging="0"/>
        <w:rPr>
          <w:rFonts w:ascii="Arial" w:hAnsi="Arial" w:cs="Arial"/>
          <w:b/>
          <w:b/>
          <w:bCs/>
          <w:sz w:val="22"/>
          <w:szCs w:val="22"/>
        </w:rPr>
      </w:pPr>
      <w:r>
        <w:rPr>
          <w:rFonts w:cs="Arial" w:ascii="Arial" w:hAnsi="Arial"/>
          <w:b/>
          <w:bCs/>
          <w:sz w:val="22"/>
          <w:szCs w:val="22"/>
        </w:rPr>
        <w:t>3. Sposób komunikowania się Zamawiającego z Wykonawcami (nie dotyczy składania   ofert )</w:t>
      </w:r>
    </w:p>
    <w:p>
      <w:pPr>
        <w:pStyle w:val="Normal"/>
        <w:ind w:left="720" w:right="0" w:hanging="0"/>
        <w:jc w:val="both"/>
        <w:rPr>
          <w:rFonts w:ascii="Arial" w:hAnsi="Arial" w:cs="Arial"/>
          <w:b/>
          <w:b/>
          <w:bCs/>
          <w:sz w:val="22"/>
          <w:szCs w:val="22"/>
        </w:rPr>
      </w:pPr>
      <w:r>
        <w:rPr>
          <w:rFonts w:cs="Arial" w:ascii="Arial" w:hAnsi="Arial"/>
          <w:b/>
          <w:bCs/>
          <w:sz w:val="22"/>
          <w:szCs w:val="22"/>
        </w:rPr>
      </w:r>
    </w:p>
    <w:p>
      <w:pPr>
        <w:pStyle w:val="Normal"/>
        <w:numPr>
          <w:ilvl w:val="0"/>
          <w:numId w:val="7"/>
        </w:numPr>
        <w:jc w:val="both"/>
        <w:rPr/>
      </w:pPr>
      <w:r>
        <w:rPr>
          <w:rStyle w:val="Domylnaczcionkaakapitu"/>
          <w:rFonts w:cs="Arial" w:ascii="Arial" w:hAnsi="Arial"/>
          <w:sz w:val="22"/>
          <w:szCs w:val="22"/>
        </w:rPr>
        <w:t xml:space="preserve"> </w:t>
      </w:r>
      <w:r>
        <w:rPr>
          <w:rStyle w:val="Domylnaczcionkaakapitu"/>
          <w:rFonts w:cs="Arial" w:ascii="Arial" w:hAnsi="Arial"/>
          <w:sz w:val="22"/>
          <w:szCs w:val="22"/>
        </w:rPr>
        <w:t xml:space="preserve">W postępowaniu o udzielenie zamówienia komunikacja pomiędzy Zamawiającym  </w:t>
        <w:br/>
        <w:t xml:space="preserve"> a Wykonawcami w szczególności składanie oświadczeń, wniosków (innych niż                      wskazanych w pkt 2.), zawiadomień oraz przekazywanie informacji odbywa się elektronicznie za pośrednictwem </w:t>
      </w:r>
      <w:r>
        <w:rPr>
          <w:rStyle w:val="Domylnaczcionkaakapitu"/>
          <w:rFonts w:cs="Arial" w:ascii="Arial" w:hAnsi="Arial"/>
          <w:b/>
          <w:i/>
          <w:sz w:val="22"/>
          <w:szCs w:val="22"/>
        </w:rPr>
        <w:t>dedykowanego formularza dostępnego na ePUAP oraz udostępnionego przez miniPortal (Formularz do komunikacji).</w:t>
      </w:r>
      <w:r>
        <w:rPr>
          <w:rStyle w:val="Domylnaczcionkaakapitu"/>
          <w:rFonts w:cs="Arial" w:ascii="Arial" w:hAnsi="Arial"/>
          <w:sz w:val="22"/>
          <w:szCs w:val="22"/>
        </w:rPr>
        <w:t xml:space="preserve"> We wszelkiej korespondencji związanej z niniejszym postępowaniem Zamawiający i Wykonawcy posługują się numerem ogłoszenia ( TED lub ID postępowania).</w:t>
      </w:r>
    </w:p>
    <w:p>
      <w:pPr>
        <w:pStyle w:val="Normal"/>
        <w:ind w:left="720" w:right="0" w:hanging="0"/>
        <w:jc w:val="both"/>
        <w:rPr>
          <w:rFonts w:ascii="Arial" w:hAnsi="Arial" w:cs="Arial"/>
          <w:sz w:val="22"/>
          <w:szCs w:val="22"/>
        </w:rPr>
      </w:pPr>
      <w:r>
        <w:rPr>
          <w:rFonts w:cs="Arial" w:ascii="Arial" w:hAnsi="Arial"/>
          <w:sz w:val="22"/>
          <w:szCs w:val="22"/>
        </w:rPr>
      </w:r>
    </w:p>
    <w:p>
      <w:pPr>
        <w:pStyle w:val="Normal"/>
        <w:numPr>
          <w:ilvl w:val="0"/>
          <w:numId w:val="8"/>
        </w:numPr>
        <w:jc w:val="both"/>
        <w:rPr>
          <w:rFonts w:ascii="Arial" w:hAnsi="Arial" w:cs="Arial"/>
          <w:sz w:val="22"/>
          <w:szCs w:val="22"/>
          <w:highlight w:val="white"/>
        </w:rPr>
      </w:pPr>
      <w:r>
        <w:rPr>
          <w:rFonts w:cs="Arial" w:ascii="Arial" w:hAnsi="Arial"/>
          <w:sz w:val="22"/>
          <w:szCs w:val="22"/>
          <w:highlight w:val="white"/>
        </w:rPr>
        <w:t>Zamawiający może również komunikować się z Wykonawcami za pomocą poczty                      elektronicznej, email: dzp@spzoz.proszowice.pl</w:t>
      </w:r>
    </w:p>
    <w:p>
      <w:pPr>
        <w:pStyle w:val="Normal"/>
        <w:jc w:val="both"/>
        <w:rPr>
          <w:rFonts w:ascii="Arial" w:hAnsi="Arial"/>
          <w:sz w:val="22"/>
          <w:szCs w:val="22"/>
          <w:highlight w:val="white"/>
        </w:rPr>
      </w:pPr>
      <w:r>
        <w:rPr>
          <w:rFonts w:ascii="Arial" w:hAnsi="Arial"/>
          <w:sz w:val="22"/>
          <w:szCs w:val="22"/>
          <w:highlight w:val="white"/>
        </w:rPr>
      </w:r>
    </w:p>
    <w:p>
      <w:pPr>
        <w:pStyle w:val="Normal"/>
        <w:numPr>
          <w:ilvl w:val="0"/>
          <w:numId w:val="8"/>
        </w:numPr>
        <w:tabs>
          <w:tab w:val="left" w:pos="-330" w:leader="none"/>
        </w:tabs>
        <w:jc w:val="both"/>
        <w:rPr/>
      </w:pPr>
      <w:r>
        <w:rPr>
          <w:rStyle w:val="Domylnaczcionkaakapitu"/>
          <w:rFonts w:cs="Arial" w:ascii="Arial" w:hAnsi="Arial"/>
          <w:sz w:val="22"/>
          <w:szCs w:val="22"/>
        </w:rPr>
        <w:t xml:space="preserve">Dokumenty elektroniczne, oświadczenia lub elektroniczne kopie dokumentów lub                oświadczeń  składane są przez Wykonawcę za  pośrednictwem </w:t>
      </w:r>
      <w:r>
        <w:rPr>
          <w:rStyle w:val="Domylnaczcionkaakapitu"/>
          <w:rFonts w:cs="Arial" w:ascii="Arial" w:hAnsi="Arial"/>
          <w:i/>
          <w:sz w:val="22"/>
          <w:szCs w:val="22"/>
        </w:rPr>
        <w:t>Formularza do komunikacji</w:t>
      </w:r>
      <w:r>
        <w:rPr>
          <w:rStyle w:val="Domylnaczcionkaakapitu"/>
          <w:rFonts w:cs="Arial" w:ascii="Arial" w:hAnsi="Arial"/>
          <w:sz w:val="22"/>
          <w:szCs w:val="22"/>
        </w:rPr>
        <w:t xml:space="preserve"> na miniPortalu jako załączniki. Zamawiający dopuszcza również możliwość składania              dokumentów elektronicznych, oświadczeń lub elektronicznych kopii dokumentów lub oświadczeń  za pomocą poczty elektronicznej, na  adres e-mail: dzp@spzoz.proszowice.pl</w:t>
      </w:r>
    </w:p>
    <w:p>
      <w:pPr>
        <w:pStyle w:val="Normal"/>
        <w:numPr>
          <w:ilvl w:val="0"/>
          <w:numId w:val="8"/>
        </w:numPr>
        <w:tabs>
          <w:tab w:val="left" w:pos="-330" w:leader="none"/>
        </w:tabs>
        <w:jc w:val="both"/>
        <w:rPr/>
      </w:pPr>
      <w:r>
        <w:rPr>
          <w:rStyle w:val="Domylnaczcionkaakapitu"/>
          <w:rFonts w:cs="Arial" w:ascii="Arial" w:hAnsi="Arial"/>
          <w:sz w:val="22"/>
          <w:szCs w:val="22"/>
        </w:rPr>
        <w:t>Sposób sporządzenia dokumentów elektronicznych, oświadczeń lub elektronicznych kopii dokumentów lub oświadczeń musi być zgodny z wymaganiami określonymi</w:t>
        <w:br/>
        <w:t xml:space="preserve">w rozporządzeniu Prezesa Rady Ministrów z dnia 27 czerwca 2017 r. </w:t>
      </w:r>
      <w:r>
        <w:rPr>
          <w:rStyle w:val="Domylnaczcionkaakapitu"/>
          <w:rFonts w:cs="Arial" w:ascii="Arial" w:hAnsi="Arial"/>
          <w:i/>
          <w:sz w:val="22"/>
          <w:szCs w:val="22"/>
        </w:rPr>
        <w:t xml:space="preserve">w sprawie użycia środków komunikacji elektronicznej w postępowaniu o udzielenie zamówienia publicznego oraz udostępniania i przechowywania dokumentów elektronicznych </w:t>
      </w:r>
      <w:r>
        <w:rPr>
          <w:rStyle w:val="Domylnaczcionkaakapitu"/>
          <w:rFonts w:cs="Arial" w:ascii="Arial" w:hAnsi="Arial"/>
          <w:sz w:val="22"/>
          <w:szCs w:val="22"/>
        </w:rPr>
        <w:t xml:space="preserve">oraz rozporządzeniu Ministra Rozwoju z dnia 26 lipca 2016 r. </w:t>
      </w:r>
      <w:r>
        <w:rPr>
          <w:rStyle w:val="Domylnaczcionkaakapitu"/>
          <w:rFonts w:cs="Arial" w:ascii="Arial" w:hAnsi="Arial"/>
          <w:i/>
          <w:sz w:val="22"/>
          <w:szCs w:val="22"/>
        </w:rPr>
        <w:t>w sprawie rodzajów dokumentów, jakich może             żądać zamawiający od wykonawcy w postępowaniu o udzielenie zamówienia.</w:t>
      </w:r>
    </w:p>
    <w:p>
      <w:pPr>
        <w:pStyle w:val="Normal"/>
        <w:tabs>
          <w:tab w:val="left" w:pos="390" w:leader="none"/>
        </w:tabs>
        <w:ind w:left="720" w:right="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Zamawiający nie przewiduje zorganizowania zebrania z wykonawcami.</w:t>
      </w:r>
    </w:p>
    <w:p>
      <w:pPr>
        <w:pStyle w:val="Normal"/>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pPr>
      <w:r>
        <w:rPr>
          <w:rFonts w:cs="Arial" w:ascii="Arial" w:hAnsi="Arial"/>
          <w:b/>
          <w:sz w:val="22"/>
          <w:szCs w:val="22"/>
          <w:highlight w:val="white"/>
        </w:rPr>
        <w:t>OPIS SPOSOBU PRZYGOTOWANIA OFERTY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b/>
          <w:bCs/>
          <w:sz w:val="22"/>
          <w:szCs w:val="22"/>
          <w:highlight w:val="white"/>
        </w:rPr>
        <w:t>Postać papierowa oferty</w:t>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pPr>
      <w:r>
        <w:rPr>
          <w:rFonts w:cs="Arial" w:ascii="Arial" w:hAnsi="Arial"/>
          <w:b w:val="false"/>
          <w:bCs w:val="false"/>
          <w:sz w:val="22"/>
          <w:szCs w:val="22"/>
          <w:highlight w:val="white"/>
        </w:rPr>
        <w:t>1.</w:t>
      </w: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pPr>
      <w:r>
        <w:rPr>
          <w:rFonts w:cs="Arial" w:ascii="Arial" w:hAnsi="Arial"/>
          <w:b w:val="false"/>
          <w:bCs w:val="false"/>
          <w:sz w:val="22"/>
          <w:szCs w:val="22"/>
          <w:highlight w:val="white"/>
        </w:rPr>
        <w:t xml:space="preserve">2. </w:t>
      </w: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Normal"/>
        <w:jc w:val="both"/>
        <w:rPr/>
      </w:pPr>
      <w:r>
        <w:rPr>
          <w:rFonts w:cs="Arial" w:ascii="Arial" w:hAnsi="Arial"/>
          <w:sz w:val="22"/>
          <w:szCs w:val="22"/>
          <w:highlight w:val="white"/>
        </w:rPr>
        <w:t>3. W przypadku, gdy Wykonawcy wspólnie ubiegają się o udzielenie zamówienia, do oferty powinno być dołączone pełnomocnictwo dla ustanowionego pełnomocnika, o którym mowa w art. 23 ust. 2 ustawy.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 xml:space="preserve">4.Dla sporządzenia oferty należy wykorzystać formularz „Oferta” (Załącznik 1 do SIWZ).                  Do oferty należy dołączyć wypełniony i podpisany załącznik Nr 2 do SIWZ.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5. 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pPr>
        <w:pStyle w:val="Normal"/>
        <w:jc w:val="both"/>
        <w:rPr/>
      </w:pPr>
      <w:r>
        <w:rPr>
          <w:rFonts w:cs="Arial" w:ascii="Arial" w:hAnsi="Arial"/>
          <w:b w:val="false"/>
          <w:bCs w:val="false"/>
          <w:color w:val="000000"/>
          <w:sz w:val="22"/>
          <w:szCs w:val="22"/>
          <w:highlight w:val="white"/>
        </w:rPr>
        <w:t xml:space="preserve">Dokumenty lub oświadczenia sporządzone w języku obcym są składane wraz </w:t>
        <w:br/>
        <w:t>z tłumaczeniem.</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12/ZP/2020</w:t>
      </w:r>
    </w:p>
    <w:p>
      <w:pPr>
        <w:pStyle w:val="BodyText2"/>
        <w:ind w:left="397" w:right="0" w:hanging="0"/>
        <w:jc w:val="both"/>
        <w:rPr/>
      </w:pPr>
      <w:r>
        <w:rPr>
          <w:rFonts w:cs="Arial" w:ascii="Arial" w:hAnsi="Arial"/>
          <w:b/>
          <w:bCs/>
          <w:i w:val="false"/>
          <w:iCs w:val="false"/>
          <w:color w:val="000000"/>
          <w:sz w:val="22"/>
          <w:szCs w:val="22"/>
          <w:highlight w:val="white"/>
          <w:u w:val="none"/>
        </w:rPr>
        <w:t xml:space="preserve">Dostawa podłoży/testów wraz z dzierżawą aparatów. </w:t>
      </w:r>
    </w:p>
    <w:p>
      <w:pPr>
        <w:pStyle w:val="BodyText2"/>
        <w:ind w:left="397" w:right="0" w:hanging="0"/>
        <w:jc w:val="both"/>
        <w:rPr>
          <w:rFonts w:ascii="Arial" w:hAnsi="Arial" w:cs="Arial"/>
          <w:sz w:val="22"/>
          <w:szCs w:val="22"/>
          <w:highlight w:val="yellow"/>
        </w:rPr>
      </w:pPr>
      <w:r>
        <w:rPr>
          <w:rFonts w:cs="Arial" w:ascii="Arial" w:hAnsi="Arial"/>
          <w:sz w:val="22"/>
          <w:szCs w:val="22"/>
          <w:highlight w:val="yellow"/>
        </w:rP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Normal"/>
        <w:ind w:left="397" w:right="0" w:hanging="0"/>
        <w:jc w:val="both"/>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pPr>
      <w:bookmarkStart w:id="0" w:name="__DdeLink__973_1108239804"/>
      <w:bookmarkEnd w:id="0"/>
      <w:r>
        <w:rPr>
          <w:rFonts w:cs="Arial" w:ascii="Arial" w:hAnsi="Arial"/>
          <w:color w:val="00000A"/>
          <w:sz w:val="22"/>
          <w:szCs w:val="22"/>
        </w:rPr>
        <w:t xml:space="preserve">LUB </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b/>
          <w:b/>
          <w:bCs/>
        </w:rPr>
      </w:pPr>
      <w:r>
        <w:rPr>
          <w:rFonts w:cs="Arial" w:ascii="Arial" w:hAnsi="Arial"/>
          <w:b/>
          <w:bCs/>
          <w:color w:val="00000A"/>
          <w:sz w:val="22"/>
          <w:szCs w:val="22"/>
        </w:rPr>
        <w:t>Elektronicznie  - na zasadach określonych w pkt VII  SIWZ.</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right="0" w:hanging="0"/>
        <w:jc w:val="both"/>
        <w:rPr>
          <w:rFonts w:ascii="Arial" w:hAnsi="Arial" w:cs="Arial"/>
          <w:color w:val="00000A"/>
          <w:sz w:val="22"/>
          <w:szCs w:val="22"/>
        </w:rPr>
      </w:pPr>
      <w:bookmarkStart w:id="1" w:name="__DdeLink__973_11082398041"/>
      <w:bookmarkStart w:id="2" w:name="__DdeLink__973_11082398041"/>
      <w:bookmarkEnd w:id="2"/>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color w:val="00000A"/>
          <w:sz w:val="22"/>
          <w:szCs w:val="22"/>
        </w:rPr>
        <w:t>Postać papierowa oferty.</w:t>
      </w:r>
    </w:p>
    <w:p>
      <w:pPr>
        <w:pStyle w:val="Normal"/>
        <w:jc w:val="both"/>
        <w:rPr>
          <w:rFonts w:ascii="Arial" w:hAnsi="Arial" w:cs="Arial"/>
          <w:b w:val="false"/>
          <w:b w:val="false"/>
          <w:color w:val="00000A"/>
          <w:sz w:val="22"/>
          <w:szCs w:val="22"/>
        </w:rPr>
      </w:pPr>
      <w:r>
        <w:rPr>
          <w:rFonts w:cs="Arial" w:ascii="Arial" w:hAnsi="Arial"/>
          <w:b w:val="false"/>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rPr>
        <w:t>30.04.2020</w:t>
      </w:r>
      <w:r>
        <w:rPr>
          <w:rFonts w:cs="Arial" w:ascii="Arial" w:hAnsi="Arial"/>
          <w:b/>
          <w:bCs/>
          <w:color w:val="00000A"/>
          <w:sz w:val="22"/>
          <w:szCs w:val="22"/>
          <w:u w:val="none"/>
        </w:rPr>
        <w:t xml:space="preserve"> r.</w:t>
      </w:r>
      <w:r>
        <w:rPr>
          <w:rFonts w:cs="Arial" w:ascii="Arial" w:hAnsi="Arial"/>
          <w:color w:val="00000A"/>
          <w:sz w:val="22"/>
          <w:szCs w:val="22"/>
          <w:u w:val="none"/>
        </w:rPr>
        <w:t xml:space="preserve"> </w:t>
      </w:r>
      <w:r>
        <w:rPr>
          <w:rFonts w:cs="Arial" w:ascii="Arial" w:hAnsi="Arial"/>
          <w:b/>
          <w:bCs/>
          <w:color w:val="00000A"/>
          <w:sz w:val="22"/>
          <w:szCs w:val="22"/>
          <w:u w:val="none"/>
        </w:rPr>
        <w:t>do godz. 11:30</w:t>
      </w:r>
      <w:r>
        <w:rPr>
          <w:rFonts w:cs="Arial" w:ascii="Arial" w:hAnsi="Arial"/>
          <w:b w:val="false"/>
          <w:color w:val="00000A"/>
          <w:sz w:val="22"/>
          <w:szCs w:val="22"/>
          <w:u w:val="none"/>
        </w:rPr>
        <w:t>,</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bookmarkStart w:id="3" w:name="__DdeLink__789_1403255046"/>
      <w:bookmarkStart w:id="4" w:name="__DdeLink__789_1403255046"/>
      <w:bookmarkEnd w:id="4"/>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w Sekcji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 30.04.2020</w:t>
      </w:r>
      <w:r>
        <w:rPr>
          <w:rFonts w:cs="Arial" w:ascii="Arial" w:hAnsi="Arial"/>
          <w:b/>
          <w:color w:val="00000A"/>
          <w:sz w:val="22"/>
          <w:szCs w:val="22"/>
          <w:u w:val="none"/>
        </w:rPr>
        <w:t xml:space="preserve"> r. o godz.12:00.</w:t>
      </w:r>
    </w:p>
    <w:p>
      <w:pPr>
        <w:pStyle w:val="Normal"/>
        <w:jc w:val="both"/>
        <w:rPr>
          <w:rFonts w:ascii="Times New Roman" w:hAnsi="Times New Roman" w:cs="Arial"/>
          <w:b/>
          <w:b/>
          <w:color w:val="00000A"/>
          <w:sz w:val="22"/>
          <w:szCs w:val="22"/>
        </w:rPr>
      </w:pPr>
      <w:bookmarkStart w:id="5" w:name="__DdeLink__789_14032550461"/>
      <w:bookmarkStart w:id="6" w:name="__DdeLink__789_14032550461"/>
      <w:bookmarkEnd w:id="6"/>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ind w:right="0" w:hanging="0"/>
        <w:jc w:val="both"/>
        <w:rPr/>
      </w:pPr>
      <w:r>
        <w:rPr>
          <w:rFonts w:cs="Arial" w:ascii="Arial" w:hAnsi="Arial"/>
          <w:color w:val="00000A"/>
          <w:sz w:val="22"/>
          <w:szCs w:val="22"/>
        </w:rPr>
        <w:t xml:space="preserve">LUB </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right="0" w:hanging="0"/>
        <w:jc w:val="both"/>
        <w:rPr/>
      </w:pPr>
      <w:r>
        <w:rPr>
          <w:rFonts w:cs="Arial" w:ascii="Arial" w:hAnsi="Arial"/>
          <w:b/>
          <w:bCs/>
          <w:color w:val="00000A"/>
          <w:sz w:val="22"/>
          <w:szCs w:val="22"/>
        </w:rPr>
        <w:t xml:space="preserve">Elektronicznie  - na zasadach określonych w pkt VII  SIWZ - </w:t>
      </w:r>
      <w:r>
        <w:rPr>
          <w:rFonts w:cs="Arial" w:ascii="Arial" w:hAnsi="Arial"/>
          <w:b w:val="false"/>
          <w:bCs/>
          <w:color w:val="00000A"/>
          <w:sz w:val="22"/>
          <w:szCs w:val="22"/>
        </w:rPr>
        <w:t xml:space="preserve">do dnia  </w:t>
      </w:r>
      <w:r>
        <w:rPr>
          <w:rFonts w:cs="Arial" w:ascii="Arial" w:hAnsi="Arial"/>
          <w:b/>
          <w:bCs/>
          <w:color w:val="00000A"/>
          <w:sz w:val="22"/>
          <w:szCs w:val="22"/>
        </w:rPr>
        <w:t>30.04.2020</w:t>
      </w:r>
      <w:r>
        <w:rPr>
          <w:rFonts w:cs="Arial" w:ascii="Arial" w:hAnsi="Arial"/>
          <w:b/>
          <w:bCs/>
          <w:color w:val="00000A"/>
          <w:sz w:val="22"/>
          <w:szCs w:val="22"/>
          <w:u w:val="none"/>
        </w:rPr>
        <w:t xml:space="preserve"> r. do godz. 11:30</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w Sekcji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 30.04.2020</w:t>
      </w:r>
      <w:r>
        <w:rPr>
          <w:rFonts w:cs="Arial" w:ascii="Arial" w:hAnsi="Arial"/>
          <w:b/>
          <w:color w:val="00000A"/>
          <w:sz w:val="22"/>
          <w:szCs w:val="22"/>
          <w:u w:val="none"/>
        </w:rPr>
        <w:t xml:space="preserve"> r. o godz.12:00.</w:t>
      </w:r>
    </w:p>
    <w:p>
      <w:pPr>
        <w:pStyle w:val="Normal"/>
        <w:ind w:left="397" w:right="0" w:hanging="0"/>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highlight w:val="white"/>
        </w:rPr>
        <w:t>XIII.</w:t>
      </w:r>
    </w:p>
    <w:p>
      <w:pPr>
        <w:pStyle w:val="Normal"/>
        <w:jc w:val="both"/>
        <w:rPr>
          <w:rFonts w:ascii="Arial" w:hAnsi="Arial" w:cs="Arial"/>
          <w:b/>
          <w:b/>
          <w:sz w:val="22"/>
          <w:szCs w:val="22"/>
        </w:rPr>
      </w:pPr>
      <w:r>
        <w:rPr>
          <w:rFonts w:cs="Arial" w:ascii="Arial" w:hAnsi="Arial"/>
          <w:b/>
          <w:sz w:val="22"/>
          <w:szCs w:val="22"/>
          <w:highlight w:val="white"/>
        </w:rPr>
        <w:t>KRYTERIUM OCENY OFERT,  WAGI KRYTERIÓW, SPOSÓB OCENY OFERT</w:t>
      </w:r>
    </w:p>
    <w:p>
      <w:pPr>
        <w:pStyle w:val="Normal"/>
        <w:jc w:val="both"/>
        <w:rPr>
          <w:rFonts w:ascii="Arial" w:hAnsi="Arial" w:cs="Arial"/>
          <w:b/>
          <w:b/>
          <w:color w:val="00000A"/>
          <w:sz w:val="22"/>
          <w:szCs w:val="22"/>
          <w:highlight w:val="white"/>
        </w:rPr>
      </w:pPr>
      <w:r>
        <w:rPr>
          <w:rFonts w:cs="Arial" w:ascii="Arial" w:hAnsi="Arial"/>
          <w:b/>
          <w:color w:val="00000A"/>
          <w:sz w:val="22"/>
          <w:szCs w:val="22"/>
          <w:highlight w:val="white"/>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highlight w:val="white"/>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6</w:t>
      </w:r>
      <w:r>
        <w:rPr>
          <w:rFonts w:ascii="Arial" w:hAnsi="Arial"/>
          <w:b/>
          <w:sz w:val="22"/>
          <w:szCs w:val="22"/>
          <w:highlight w:val="white"/>
        </w:rPr>
        <w:t>0  %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highlight w:val="white"/>
          <w:u w:val="none"/>
        </w:rPr>
      </w:pPr>
      <w:r>
        <w:rPr>
          <w:rFonts w:ascii="Arial" w:hAnsi="Arial"/>
          <w:b/>
          <w:bCs/>
          <w:color w:val="00000A"/>
          <w:sz w:val="22"/>
          <w:szCs w:val="22"/>
          <w:highlight w:val="white"/>
          <w:u w:val="none"/>
        </w:rPr>
        <w:t>|JAKOŚĆ                                                             |40  %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color w:val="00000A"/>
          <w:sz w:val="22"/>
          <w:szCs w:val="22"/>
        </w:rPr>
        <w:t>Zamawiający wybierze ofertę, która spełni w</w:t>
      </w:r>
      <w:r>
        <w:rPr>
          <w:rFonts w:ascii="Arial" w:hAnsi="Arial"/>
          <w:sz w:val="22"/>
          <w:szCs w:val="22"/>
          <w:highlight w:val="white"/>
        </w:rPr>
        <w:t>szystkie wymagania określone w ustawie Prawo zamówień publicznych i w niniejszej specyfikacji istotnych warunków zamówienia oraz zostanie uznana za najkorzystniejszą. Za najkorzystniejszą zostanie uznana oferta, która otrzyma największa liczbę punktów.</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sz w:val="22"/>
          <w:szCs w:val="22"/>
        </w:rPr>
        <w:t>Nazwa kryterium:</w:t>
        <w:tab/>
        <w:t xml:space="preserve">CENA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Wzór:  </w:t>
        <w:tab/>
        <w:t>C =  [(Cmin/Cbad) x 100] x 60 %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r>
    </w:p>
    <w:p>
      <w:pPr>
        <w:pStyle w:val="Normal"/>
        <w:rPr>
          <w:rFonts w:ascii="Arial" w:hAnsi="Arial"/>
          <w:sz w:val="22"/>
          <w:szCs w:val="22"/>
        </w:rPr>
      </w:pPr>
      <w:r>
        <w:rPr>
          <w:rFonts w:ascii="Arial" w:hAnsi="Arial"/>
          <w:sz w:val="22"/>
          <w:szCs w:val="22"/>
        </w:rPr>
        <w:br/>
        <w:t xml:space="preserve">C - liczba punktów przyznanych dla kryterium cena </w:t>
        <w:br/>
        <w:t xml:space="preserve">Cmin - najniższa cena brutto spośród wszystkich ofert ocenianych </w:t>
        <w:br/>
        <w:t>Cbad - cena oferty badanej</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100– maksymalna liczba punktów</w:t>
      </w:r>
    </w:p>
    <w:p>
      <w:pPr>
        <w:pStyle w:val="Normal"/>
        <w:rPr>
          <w:rFonts w:ascii="Arial" w:hAnsi="Arial"/>
          <w:sz w:val="22"/>
          <w:szCs w:val="22"/>
        </w:rPr>
      </w:pPr>
      <w:r>
        <w:rPr>
          <w:rFonts w:cs="Arial" w:ascii="Arial" w:hAnsi="Arial"/>
          <w:b/>
          <w:sz w:val="22"/>
          <w:szCs w:val="22"/>
        </w:rPr>
        <w:t>60%  - waga kryterium CENA</w:t>
      </w:r>
    </w:p>
    <w:p>
      <w:pPr>
        <w:pStyle w:val="Normal"/>
        <w:rPr>
          <w:rFonts w:ascii="Arial" w:hAnsi="Arial"/>
          <w:sz w:val="22"/>
          <w:szCs w:val="22"/>
        </w:rPr>
      </w:pPr>
      <w:r>
        <w:rPr>
          <w:rFonts w:ascii="Arial" w:hAnsi="Arial"/>
          <w:sz w:val="22"/>
          <w:szCs w:val="22"/>
        </w:rPr>
      </w:r>
    </w:p>
    <w:p>
      <w:pPr>
        <w:pStyle w:val="Normal"/>
        <w:rPr/>
      </w:pPr>
      <w:r>
        <w:rPr>
          <w:rFonts w:ascii="Arial" w:hAnsi="Arial"/>
          <w:b/>
          <w:bCs/>
          <w:sz w:val="22"/>
          <w:szCs w:val="22"/>
          <w:u w:val="single"/>
        </w:rPr>
        <w:t>Nazwa kryterium:   JAKOŚĆ</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Punkty w kryterium JAKOŚĆ zostaną przyznane  następująco:</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Pakiet I.</w:t>
      </w:r>
    </w:p>
    <w:p>
      <w:pPr>
        <w:pStyle w:val="Normal"/>
        <w:spacing w:lineRule="auto" w:line="252"/>
        <w:rPr/>
      </w:pPr>
      <w:r>
        <w:rPr>
          <w:rFonts w:cs="Calibri" w:ascii="Arial" w:hAnsi="Arial"/>
          <w:b w:val="false"/>
          <w:bCs w:val="false"/>
          <w:color w:val="000000"/>
          <w:sz w:val="22"/>
          <w:szCs w:val="22"/>
        </w:rPr>
        <w:t xml:space="preserve">W czasie obowiązywania umowy – serwis aparatu zdalnie poprzez bezpieczne połączenie </w:t>
        <w:br/>
        <w:t>w zakresie rozwiązywania problemów w oprogramowaniu, przeprowadzania aktualizacji, udzielania pomocy merytorycznej, personelowi pracowni mikrobiologii - TAK/NIE   TAK – 100 pkt   NIE – 0 pkt</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sz w:val="22"/>
          <w:szCs w:val="22"/>
        </w:rPr>
      </w:pPr>
      <w:r>
        <w:rPr>
          <w:rFonts w:ascii="Arial" w:hAnsi="Arial"/>
          <w:color w:val="000000"/>
          <w:sz w:val="22"/>
          <w:szCs w:val="22"/>
        </w:rPr>
        <w:t>Pakiet II</w:t>
      </w:r>
    </w:p>
    <w:tbl>
      <w:tblPr>
        <w:tblW w:w="9240" w:type="dxa"/>
        <w:jc w:val="left"/>
        <w:tblInd w:w="-1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 w:type="dxa"/>
          <w:bottom w:w="0" w:type="dxa"/>
          <w:right w:w="108" w:type="dxa"/>
        </w:tblCellMar>
      </w:tblPr>
      <w:tblGrid>
        <w:gridCol w:w="1155"/>
        <w:gridCol w:w="4290"/>
        <w:gridCol w:w="3795"/>
      </w:tblGrid>
      <w:tr>
        <w:trPr/>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lineRule="auto" w:line="252"/>
              <w:jc w:val="center"/>
              <w:rPr>
                <w:rFonts w:ascii="Arial" w:hAnsi="Arial" w:cs="Calibri"/>
                <w:b w:val="false"/>
                <w:b w:val="false"/>
                <w:bCs w:val="false"/>
                <w:color w:val="000000"/>
                <w:sz w:val="22"/>
                <w:szCs w:val="22"/>
              </w:rPr>
            </w:pPr>
            <w:r>
              <w:rPr>
                <w:rFonts w:cs="Calibri" w:ascii="Arial" w:hAnsi="Arial"/>
                <w:b w:val="false"/>
                <w:bCs w:val="false"/>
                <w:color w:val="000000"/>
                <w:sz w:val="22"/>
                <w:szCs w:val="22"/>
              </w:rPr>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1.</w:t>
            </w:r>
          </w:p>
        </w:tc>
        <w:tc>
          <w:tcPr>
            <w:tcW w:w="4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52"/>
              <w:rPr>
                <w:rFonts w:ascii="Arial" w:hAnsi="Arial"/>
                <w:color w:val="000000"/>
                <w:sz w:val="22"/>
                <w:szCs w:val="22"/>
              </w:rPr>
            </w:pPr>
            <w:r>
              <w:rPr>
                <w:rFonts w:cs="Calibri" w:ascii="Arial" w:hAnsi="Arial"/>
                <w:b w:val="false"/>
                <w:bCs w:val="false"/>
                <w:color w:val="000000"/>
                <w:sz w:val="22"/>
                <w:szCs w:val="22"/>
              </w:rPr>
              <w:t xml:space="preserve">Sygnalizacja dźwiękowa </w:t>
              <w:br/>
              <w:t>i świetlna dodatnich prób (butelek)</w:t>
            </w:r>
          </w:p>
        </w:tc>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TAK/NIE</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TAK – 50 pkt</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NIE – 0 pkt</w:t>
            </w:r>
          </w:p>
        </w:tc>
      </w:tr>
      <w:tr>
        <w:trPr/>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lineRule="auto" w:line="252"/>
              <w:jc w:val="center"/>
              <w:rPr/>
            </w:pPr>
            <w:r>
              <w:rPr>
                <w:rFonts w:cs="Calibri" w:ascii="Arial" w:hAnsi="Arial"/>
                <w:b w:val="false"/>
                <w:bCs w:val="false"/>
                <w:color w:val="000000"/>
                <w:sz w:val="22"/>
                <w:szCs w:val="22"/>
              </w:rPr>
              <w:t>2.</w:t>
            </w:r>
          </w:p>
        </w:tc>
        <w:tc>
          <w:tcPr>
            <w:tcW w:w="4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52"/>
              <w:rPr/>
            </w:pPr>
            <w:r>
              <w:rPr>
                <w:rFonts w:cs="Calibri" w:ascii="Arial" w:hAnsi="Arial"/>
                <w:b w:val="false"/>
                <w:bCs w:val="false"/>
                <w:color w:val="000000"/>
                <w:sz w:val="22"/>
                <w:szCs w:val="22"/>
              </w:rPr>
              <w:t>Certyfikat ISO 900:2015 w zakresie sprzedaży, dystrybucji, usługi serwisu technicznego oraz konsultacji i szkoleń   w zakresie wyrobów do diagnostyki in vitro (odczynniki, aparaty, oprogramowanie) dla laboratoriów klinicznych</w:t>
            </w:r>
          </w:p>
        </w:tc>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52"/>
              <w:jc w:val="center"/>
              <w:rPr/>
            </w:pPr>
            <w:r>
              <w:rPr>
                <w:rFonts w:cs="Calibri" w:ascii="Arial" w:hAnsi="Arial"/>
                <w:b w:val="false"/>
                <w:bCs w:val="false"/>
                <w:color w:val="000000"/>
                <w:sz w:val="22"/>
                <w:szCs w:val="22"/>
              </w:rPr>
              <w:t>TAK/NIE</w:t>
            </w:r>
          </w:p>
          <w:p>
            <w:pPr>
              <w:pStyle w:val="Normal"/>
              <w:spacing w:lineRule="auto" w:line="252"/>
              <w:jc w:val="center"/>
              <w:rPr/>
            </w:pPr>
            <w:r>
              <w:rPr>
                <w:rFonts w:cs="Calibri" w:ascii="Arial" w:hAnsi="Arial"/>
                <w:b w:val="false"/>
                <w:bCs w:val="false"/>
                <w:color w:val="000000"/>
                <w:sz w:val="22"/>
                <w:szCs w:val="22"/>
              </w:rPr>
              <w:t xml:space="preserve">TAK – 25 pkt </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NIE – 0 pkt</w:t>
            </w:r>
          </w:p>
        </w:tc>
      </w:tr>
      <w:tr>
        <w:trPr/>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napToGrid w:val="false"/>
              <w:spacing w:lineRule="auto" w:line="252"/>
              <w:jc w:val="center"/>
              <w:rPr>
                <w:rFonts w:ascii="Arial" w:hAnsi="Arial"/>
                <w:sz w:val="22"/>
                <w:szCs w:val="22"/>
              </w:rPr>
            </w:pPr>
            <w:r>
              <w:rPr>
                <w:rFonts w:ascii="Arial" w:hAnsi="Arial"/>
                <w:sz w:val="22"/>
                <w:szCs w:val="22"/>
              </w:rPr>
              <w:t>3.</w:t>
            </w:r>
          </w:p>
        </w:tc>
        <w:tc>
          <w:tcPr>
            <w:tcW w:w="4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52"/>
              <w:rPr>
                <w:rFonts w:ascii="Arial" w:hAnsi="Arial"/>
                <w:sz w:val="22"/>
                <w:szCs w:val="22"/>
              </w:rPr>
            </w:pPr>
            <w:r>
              <w:rPr>
                <w:rFonts w:ascii="Arial" w:hAnsi="Arial"/>
                <w:sz w:val="22"/>
                <w:szCs w:val="22"/>
              </w:rPr>
              <w:t>Trzy algorytmy odczytu wzrostu drobnoustrojów dające możliwość uzyskania wyniku dodatniego w tym algorytm progowy</w:t>
            </w:r>
          </w:p>
        </w:tc>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vAlign w:val="center"/>
          </w:tcPr>
          <w:p>
            <w:pPr>
              <w:pStyle w:val="Normal"/>
              <w:spacing w:lineRule="auto" w:line="252"/>
              <w:jc w:val="center"/>
              <w:rPr/>
            </w:pPr>
            <w:r>
              <w:rPr>
                <w:rFonts w:cs="Calibri" w:ascii="Arial" w:hAnsi="Arial"/>
                <w:b w:val="false"/>
                <w:bCs w:val="false"/>
                <w:color w:val="000000"/>
                <w:sz w:val="22"/>
                <w:szCs w:val="22"/>
              </w:rPr>
              <w:t>TAK/NIE</w:t>
            </w:r>
          </w:p>
          <w:p>
            <w:pPr>
              <w:pStyle w:val="Normal"/>
              <w:spacing w:lineRule="auto" w:line="252"/>
              <w:jc w:val="center"/>
              <w:rPr/>
            </w:pPr>
            <w:r>
              <w:rPr>
                <w:rFonts w:cs="Calibri" w:ascii="Arial" w:hAnsi="Arial"/>
                <w:b w:val="false"/>
                <w:bCs w:val="false"/>
                <w:color w:val="000000"/>
                <w:sz w:val="22"/>
                <w:szCs w:val="22"/>
              </w:rPr>
              <w:t xml:space="preserve">TAK – 25 pkt </w:t>
            </w:r>
          </w:p>
          <w:p>
            <w:pPr>
              <w:pStyle w:val="Normal"/>
              <w:spacing w:lineRule="auto" w:line="252"/>
              <w:jc w:val="center"/>
              <w:rPr/>
            </w:pPr>
            <w:r>
              <w:rPr>
                <w:rFonts w:cs="Calibri" w:ascii="Arial" w:hAnsi="Arial"/>
                <w:b w:val="false"/>
                <w:bCs w:val="false"/>
                <w:color w:val="000000"/>
                <w:sz w:val="22"/>
                <w:szCs w:val="22"/>
              </w:rPr>
              <w:t>NIE – 0 pkt</w:t>
            </w:r>
          </w:p>
        </w:tc>
      </w:tr>
    </w:tbl>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Każdy Wykonawca w kryterium  JAKOŚĆ może otrzymać maksymalnie 100 punktów.</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J = ( liczba przyznanych punktów) x 40 %</w:t>
      </w:r>
    </w:p>
    <w:p>
      <w:pPr>
        <w:pStyle w:val="Normal"/>
        <w:rPr>
          <w:rFonts w:ascii="Arial" w:hAnsi="Arial"/>
          <w:sz w:val="22"/>
          <w:szCs w:val="22"/>
        </w:rPr>
      </w:pPr>
      <w:r>
        <w:rPr>
          <w:rFonts w:ascii="Arial" w:hAnsi="Arial"/>
          <w:sz w:val="22"/>
          <w:szCs w:val="22"/>
        </w:rPr>
        <w:t>gdzie: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J – liczba punktów przyznanych dla kryterium  - JAKOŚĆ</w:t>
      </w:r>
    </w:p>
    <w:p>
      <w:pPr>
        <w:pStyle w:val="Normal"/>
        <w:rPr>
          <w:rFonts w:ascii="Arial" w:hAnsi="Arial"/>
          <w:sz w:val="22"/>
          <w:szCs w:val="22"/>
        </w:rPr>
      </w:pPr>
      <w:r>
        <w:rPr>
          <w:rFonts w:ascii="Arial" w:hAnsi="Arial"/>
          <w:sz w:val="22"/>
          <w:szCs w:val="22"/>
        </w:rPr>
        <w:t>40 %  –  waga kryterium JAKOŚĆ</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 xml:space="preserve">Ocena końcowa oferty to suma punktów przyznanych  dla  kryterium CENA oraz dla kryterium JAKOŚĆ.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rFonts w:ascii="Arial" w:hAnsi="Arial"/>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i 4a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rPr>
        <w:t>Wzór umowy zawarty jest w Załączniku 4 i 4a do SIWZ.</w:t>
      </w:r>
    </w:p>
    <w:p>
      <w:pPr>
        <w:pStyle w:val="Normal"/>
        <w:jc w:val="both"/>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2"/>
          <w:szCs w:val="22"/>
        </w:rPr>
        <w:t>POUCZENIE O ŚRODKACH OCHRONY PRAWNEJ PRZYSŁUGUJĄCYCH</w:t>
      </w:r>
    </w:p>
    <w:p>
      <w:pPr>
        <w:pStyle w:val="Normal"/>
        <w:jc w:val="both"/>
        <w:rPr>
          <w:rFonts w:ascii="Arial" w:hAnsi="Arial" w:cs="Arial"/>
          <w:b/>
          <w:b/>
          <w:sz w:val="21"/>
          <w:szCs w:val="21"/>
        </w:rPr>
      </w:pPr>
      <w:r>
        <w:rPr>
          <w:rFonts w:cs="Arial" w:ascii="Arial" w:hAnsi="Arial"/>
          <w:b/>
          <w:sz w:val="22"/>
          <w:szCs w:val="22"/>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eastAsia="Arial;Arial" w:cs="Arial;Arial" w:ascii="Arial" w:hAnsi="Arial"/>
          <w:b w:val="false"/>
          <w:bCs w:val="false"/>
          <w:color w:val="000000"/>
          <w:sz w:val="22"/>
          <w:szCs w:val="22"/>
          <w:highlight w:val="white"/>
        </w:rPr>
        <w:t xml:space="preserve">Wykonawcy przysługują przewidziane w ustawie Pzp środki ochrony prawnej w postaci odwołania oraz skargi do sądu. Szczegółowe zasady wnoszenia środków ochrony prawnej oraz postępowania toczonego wskutek ich wniesienia określa Dział VI ustawy Pzp. </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sz w:val="22"/>
          <w:szCs w:val="22"/>
        </w:rPr>
        <w:t xml:space="preserve">XVIII. </w:t>
      </w:r>
      <w:r>
        <w:rPr>
          <w:rFonts w:cs="Times New Roman" w:ascii="Arial" w:hAnsi="Arial"/>
          <w:b/>
          <w:sz w:val="22"/>
          <w:szCs w:val="22"/>
        </w:rPr>
        <w:t>KLAUZULA INFORMACYJNA DOTYCZĄCA PRZETWARZANIA DANYCH OSOBOWYCH.</w:t>
      </w:r>
    </w:p>
    <w:p>
      <w:pPr>
        <w:pStyle w:val="Normal"/>
        <w:jc w:val="both"/>
        <w:rPr>
          <w:rFonts w:ascii="Arial" w:hAnsi="Arial" w:cs="Times New Roman"/>
          <w:b/>
          <w:b/>
          <w:sz w:val="22"/>
          <w:szCs w:val="22"/>
        </w:rPr>
      </w:pPr>
      <w:r>
        <w:rPr>
          <w:rFonts w:cs="Times New Roman" w:ascii="Arial" w:hAnsi="Arial"/>
          <w:b/>
          <w:sz w:val="22"/>
          <w:szCs w:val="22"/>
        </w:rPr>
      </w:r>
    </w:p>
    <w:p>
      <w:pPr>
        <w:pStyle w:val="Normal"/>
        <w:jc w:val="both"/>
        <w:rPr/>
      </w:pPr>
      <w:r>
        <w:rPr>
          <w:rFonts w:eastAsia="Times New Roman" w:cs="Times New Roman" w:ascii="Arial" w:hAnsi="Arial"/>
          <w:sz w:val="22"/>
          <w:szCs w:val="22"/>
          <w:lang w:eastAsia="pl-PL"/>
        </w:rPr>
        <w:t xml:space="preserve">Zgodnie z art. 13 ust. 1 i 2 </w:t>
      </w:r>
      <w:r>
        <w:rPr>
          <w:rFonts w:cs="Times New Roman" w:ascii="Arial" w:hAnsi="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w:t>
      </w:r>
      <w:r>
        <w:rPr>
          <w:rFonts w:eastAsia="Times New Roman" w:cs="Times New Roman" w:ascii="Arial" w:hAnsi="Arial"/>
          <w:sz w:val="22"/>
          <w:szCs w:val="22"/>
          <w:lang w:eastAsia="pl-PL"/>
        </w:rPr>
        <w:t xml:space="preserve">dalej „RODO”, informuję, że: </w:t>
      </w:r>
    </w:p>
    <w:p>
      <w:pPr>
        <w:pStyle w:val="Normal"/>
        <w:jc w:val="both"/>
        <w:rPr>
          <w:rFonts w:ascii="Arial" w:hAnsi="Arial" w:eastAsia="Times New Roman" w:cs="Times New Roman"/>
          <w:sz w:val="22"/>
          <w:szCs w:val="22"/>
          <w:lang w:eastAsia="pl-PL"/>
        </w:rPr>
      </w:pPr>
      <w:r>
        <w:rPr>
          <w:rFonts w:eastAsia="Times New Roman" w:cs="Times New Roman" w:ascii="Arial" w:hAnsi="Arial"/>
          <w:sz w:val="22"/>
          <w:szCs w:val="22"/>
          <w:lang w:eastAsia="pl-PL"/>
        </w:rPr>
      </w:r>
    </w:p>
    <w:p>
      <w:pPr>
        <w:pStyle w:val="Normal"/>
        <w:jc w:val="both"/>
        <w:rPr/>
      </w:pPr>
      <w:r>
        <w:rPr>
          <w:rFonts w:eastAsia="Times New Roman" w:cs="Times New Roman" w:ascii="Arial" w:hAnsi="Arial"/>
          <w:sz w:val="22"/>
          <w:szCs w:val="22"/>
          <w:lang w:eastAsia="pl-PL"/>
        </w:rPr>
        <w:t xml:space="preserve">1. Administratorem Pani/Pana danych osobowych jest </w:t>
      </w:r>
      <w:r>
        <w:rPr>
          <w:rFonts w:eastAsia="Times New Roman" w:cs="Times New Roman" w:ascii="Arial" w:hAnsi="Arial"/>
          <w:i/>
          <w:sz w:val="22"/>
          <w:szCs w:val="22"/>
          <w:lang w:eastAsia="pl-PL"/>
        </w:rPr>
        <w:t>Samodzielny Publiczny Zespół Opieki Zdrowotnej w Proszowicach  ul. Kopernika 13, 32-100 Proszowice.</w:t>
      </w:r>
    </w:p>
    <w:p>
      <w:pPr>
        <w:pStyle w:val="Normal"/>
        <w:jc w:val="both"/>
        <w:rPr>
          <w:rFonts w:ascii="Arial" w:hAnsi="Arial" w:eastAsia="Times New Roman" w:cs="Times New Roman"/>
          <w:i/>
          <w:i/>
          <w:sz w:val="22"/>
          <w:szCs w:val="22"/>
          <w:lang w:eastAsia="pl-PL"/>
        </w:rPr>
      </w:pPr>
      <w:r>
        <w:rPr>
          <w:rFonts w:eastAsia="Times New Roman" w:cs="Times New Roman" w:ascii="Arial" w:hAnsi="Arial"/>
          <w:i/>
          <w:sz w:val="22"/>
          <w:szCs w:val="22"/>
          <w:lang w:eastAsia="pl-PL"/>
        </w:rPr>
      </w:r>
    </w:p>
    <w:p>
      <w:pPr>
        <w:pStyle w:val="Normal"/>
        <w:jc w:val="both"/>
        <w:rPr/>
      </w:pPr>
      <w:r>
        <w:rPr>
          <w:rFonts w:eastAsia="Times New Roman" w:cs="Times New Roman" w:ascii="Arial" w:hAnsi="Arial"/>
          <w:sz w:val="22"/>
          <w:szCs w:val="22"/>
          <w:highlight w:val="white"/>
          <w:lang w:eastAsia="pl-PL"/>
        </w:rPr>
        <w:t xml:space="preserve">2. </w:t>
      </w:r>
      <w:r>
        <w:rPr>
          <w:rFonts w:eastAsia="Times New Roman" w:cs="Times New Roman"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eastAsia="Times New Roman" w:cs="Times New Roman"/>
          <w:i/>
          <w:i/>
          <w:sz w:val="22"/>
          <w:szCs w:val="22"/>
          <w:highlight w:val="white"/>
          <w:lang w:eastAsia="pl-PL"/>
        </w:rPr>
      </w:pPr>
      <w:r>
        <w:rPr>
          <w:rFonts w:eastAsia="Times New Roman" w:cs="Times New Roman" w:ascii="Arial" w:hAnsi="Arial"/>
          <w:i/>
          <w:sz w:val="22"/>
          <w:szCs w:val="22"/>
          <w:highlight w:val="white"/>
          <w:lang w:eastAsia="pl-PL"/>
        </w:rPr>
      </w:r>
    </w:p>
    <w:p>
      <w:pPr>
        <w:pStyle w:val="Normal"/>
        <w:jc w:val="both"/>
        <w:rPr/>
      </w:pPr>
      <w:r>
        <w:rPr>
          <w:rFonts w:eastAsia="Times New Roman" w:cs="Times New Roman" w:ascii="Arial" w:hAnsi="Arial"/>
          <w:sz w:val="22"/>
          <w:szCs w:val="22"/>
          <w:lang w:eastAsia="pl-PL"/>
        </w:rPr>
        <w:t>3.  Pani/Pana dane osobowe przetwarzane będą na podstawie art. 6 ust. 1 lit. c</w:t>
      </w:r>
      <w:r>
        <w:rPr>
          <w:rFonts w:eastAsia="Times New Roman" w:cs="Times New Roman" w:ascii="Arial" w:hAnsi="Arial"/>
          <w:i/>
          <w:sz w:val="22"/>
          <w:szCs w:val="22"/>
          <w:lang w:eastAsia="pl-PL"/>
        </w:rPr>
        <w:t xml:space="preserve"> </w:t>
      </w:r>
      <w:r>
        <w:rPr>
          <w:rFonts w:eastAsia="Times New Roman" w:cs="Times New Roman" w:ascii="Arial" w:hAnsi="Arial"/>
          <w:sz w:val="22"/>
          <w:szCs w:val="22"/>
          <w:lang w:eastAsia="pl-PL"/>
        </w:rPr>
        <w:t>RODO w celu prowadzenia</w:t>
      </w:r>
      <w:r>
        <w:rPr>
          <w:rFonts w:cs="Times New Roman" w:ascii="Arial" w:hAnsi="Arial"/>
          <w:sz w:val="22"/>
          <w:szCs w:val="22"/>
        </w:rPr>
        <w:t xml:space="preserve"> postępowania o udzielenie zamówienia publicznego</w:t>
      </w:r>
      <w:r>
        <w:rPr>
          <w:rFonts w:cs="Times New Roman" w:ascii="Arial" w:hAnsi="Arial"/>
          <w:b/>
          <w:bCs/>
          <w:sz w:val="22"/>
          <w:szCs w:val="22"/>
        </w:rPr>
        <w:t xml:space="preserve"> </w:t>
      </w:r>
      <w:r>
        <w:rPr>
          <w:rFonts w:cs="Times New Roman"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sz w:val="22"/>
          <w:szCs w:val="22"/>
        </w:rPr>
        <w:t>4. Odbiorcami Pani/Pana danych osobowych będą osoby lub podmioty, którym udostępniona zostanie dokumentacja postępowania w oparciu o a</w:t>
      </w:r>
      <w:r>
        <w:rPr>
          <w:rFonts w:cs="Times New Roman" w:ascii="Arial" w:hAnsi="Arial"/>
          <w:b/>
          <w:sz w:val="22"/>
          <w:szCs w:val="22"/>
          <w:highlight w:val="white"/>
        </w:rPr>
        <w:t>rt. 8 oraz art. 96 ust. 3 ustawy z dnia 29 stycznia 2004 r. – Prawo zamówień publicznych (Dz. U. z 2019 r. poz. 1843 z późniejszymi zmianami), dalej „ustawa Pzp”.</w:t>
      </w:r>
    </w:p>
    <w:p>
      <w:pPr>
        <w:pStyle w:val="Normal"/>
        <w:jc w:val="both"/>
        <w:rPr>
          <w:rFonts w:ascii="Arial" w:hAnsi="Arial" w:cs="Times New Roman"/>
          <w:b/>
          <w:b/>
          <w:sz w:val="22"/>
          <w:szCs w:val="22"/>
          <w:highlight w:val="white"/>
        </w:rPr>
      </w:pPr>
      <w:r>
        <w:rPr>
          <w:rFonts w:cs="Times New Roman" w:ascii="Arial" w:hAnsi="Arial"/>
          <w:b/>
          <w:sz w:val="22"/>
          <w:szCs w:val="22"/>
          <w:highlight w:val="white"/>
        </w:rPr>
      </w:r>
    </w:p>
    <w:p>
      <w:pPr>
        <w:pStyle w:val="Normal"/>
        <w:jc w:val="both"/>
        <w:rPr/>
      </w:pPr>
      <w:r>
        <w:rPr>
          <w:rFonts w:cs="Times New Roman"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7. W odniesieniu do Pani/Pana danych osobowych decyzje nie będą podejmowane w sposób zautomatyzowany, stosowanie do art. 22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8. Posiada Pani/Pan:</w:t>
      </w:r>
    </w:p>
    <w:p>
      <w:pPr>
        <w:pStyle w:val="Normal"/>
        <w:widowControl/>
        <w:overflowPunct w:val="true"/>
        <w:bidi w:val="0"/>
        <w:ind w:left="283" w:right="0" w:hanging="0"/>
        <w:jc w:val="both"/>
        <w:rPr/>
      </w:pPr>
      <w:r>
        <w:rPr>
          <w:rFonts w:cs="Times New Roman" w:ascii="Arial" w:hAnsi="Arial"/>
          <w:sz w:val="22"/>
          <w:szCs w:val="22"/>
        </w:rPr>
        <w:t>-  na podstawie art. 15 RODO prawo dostępu do danych osobowych Pani/Pana dotyczących;</w:t>
      </w:r>
    </w:p>
    <w:p>
      <w:pPr>
        <w:pStyle w:val="Normal"/>
        <w:widowControl/>
        <w:overflowPunct w:val="true"/>
        <w:bidi w:val="0"/>
        <w:ind w:left="283" w:right="0" w:hanging="0"/>
        <w:jc w:val="both"/>
        <w:rPr/>
      </w:pPr>
      <w:r>
        <w:rPr>
          <w:rFonts w:eastAsia="Times New Roman" w:cs="Times New Roman" w:ascii="Arial" w:hAnsi="Arial"/>
          <w:sz w:val="22"/>
          <w:szCs w:val="22"/>
          <w:lang w:eastAsia="pl-PL"/>
        </w:rPr>
        <w:t xml:space="preserve">-  na podstawie art. 16 RODO prawo do sprostowania Pani/Pana danych osobowych </w:t>
      </w:r>
      <w:r>
        <w:rPr>
          <w:rFonts w:eastAsia="Times New Roman" w:cs="Times New Roman" w:ascii="Arial" w:hAnsi="Arial"/>
          <w:b/>
          <w:sz w:val="22"/>
          <w:szCs w:val="22"/>
          <w:vertAlign w:val="superscript"/>
          <w:lang w:eastAsia="pl-PL"/>
        </w:rPr>
        <w:t>*</w:t>
      </w:r>
      <w:r>
        <w:rPr>
          <w:rFonts w:eastAsia="Times New Roman" w:cs="Times New Roman" w:ascii="Arial" w:hAnsi="Arial"/>
          <w:sz w:val="22"/>
          <w:szCs w:val="22"/>
          <w:lang w:eastAsia="pl-PL"/>
        </w:rPr>
        <w:t>;</w:t>
      </w:r>
    </w:p>
    <w:p>
      <w:pPr>
        <w:pStyle w:val="Normal"/>
        <w:widowControl/>
        <w:overflowPunct w:val="true"/>
        <w:bidi w:val="0"/>
        <w:ind w:left="283" w:right="0" w:hanging="0"/>
        <w:jc w:val="both"/>
        <w:rPr/>
      </w:pPr>
      <w:r>
        <w:rPr>
          <w:rFonts w:cs="Times New Roman"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true"/>
        <w:bidi w:val="0"/>
        <w:ind w:left="283" w:right="0" w:hanging="0"/>
        <w:jc w:val="both"/>
        <w:rPr/>
      </w:pPr>
      <w:r>
        <w:rPr>
          <w:rFonts w:cs="Times New Roman"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cs="Times New Roman"/>
          <w:sz w:val="22"/>
          <w:szCs w:val="22"/>
        </w:rPr>
      </w:pPr>
      <w:r>
        <w:rPr>
          <w:rFonts w:cs="Times New Roman" w:ascii="Arial" w:hAnsi="Arial"/>
          <w:sz w:val="22"/>
          <w:szCs w:val="22"/>
        </w:rPr>
      </w:r>
    </w:p>
    <w:p>
      <w:pPr>
        <w:pStyle w:val="Normal"/>
        <w:ind w:left="0" w:right="0" w:hanging="0"/>
        <w:jc w:val="both"/>
        <w:rPr/>
      </w:pPr>
      <w:r>
        <w:rPr>
          <w:rFonts w:cs="Times New Roman" w:ascii="Arial" w:hAnsi="Arial"/>
          <w:sz w:val="22"/>
          <w:szCs w:val="22"/>
        </w:rPr>
        <w:t>9.    nie przysługuje Pani/Panu:</w:t>
      </w:r>
    </w:p>
    <w:p>
      <w:pPr>
        <w:pStyle w:val="Normal"/>
        <w:widowControl/>
        <w:overflowPunct w:val="true"/>
        <w:bidi w:val="0"/>
        <w:ind w:left="454" w:right="0" w:hanging="0"/>
        <w:jc w:val="both"/>
        <w:rPr/>
      </w:pPr>
      <w:r>
        <w:rPr>
          <w:rFonts w:cs="Times New Roman" w:ascii="Arial" w:hAnsi="Arial"/>
          <w:sz w:val="22"/>
          <w:szCs w:val="22"/>
        </w:rPr>
        <w:t xml:space="preserve">- w związku z art. 17 ust. 3 lit. b, d lub e RODO prawo do usunięcia danych   </w:t>
      </w:r>
    </w:p>
    <w:p>
      <w:pPr>
        <w:pStyle w:val="Normal"/>
        <w:widowControl/>
        <w:overflowPunct w:val="true"/>
        <w:bidi w:val="0"/>
        <w:ind w:left="454" w:right="0" w:hanging="0"/>
        <w:jc w:val="both"/>
        <w:rPr/>
      </w:pPr>
      <w:r>
        <w:rPr>
          <w:rFonts w:eastAsia="Times New Roman" w:cs="Times New Roman" w:ascii="Arial" w:hAnsi="Arial"/>
          <w:sz w:val="22"/>
          <w:szCs w:val="22"/>
        </w:rPr>
        <w:t xml:space="preserve">  </w:t>
      </w:r>
      <w:r>
        <w:rPr>
          <w:rFonts w:cs="Times New Roman" w:ascii="Arial" w:hAnsi="Arial"/>
          <w:sz w:val="22"/>
          <w:szCs w:val="22"/>
        </w:rPr>
        <w:t>osobowych;</w:t>
      </w:r>
    </w:p>
    <w:p>
      <w:pPr>
        <w:pStyle w:val="Normal"/>
        <w:widowControl/>
        <w:overflowPunct w:val="true"/>
        <w:bidi w:val="0"/>
        <w:ind w:left="454" w:right="0" w:hanging="0"/>
        <w:jc w:val="both"/>
        <w:rPr/>
      </w:pPr>
      <w:r>
        <w:rPr>
          <w:rFonts w:cs="Times New Roman" w:ascii="Arial" w:hAnsi="Arial"/>
          <w:sz w:val="22"/>
          <w:szCs w:val="22"/>
        </w:rPr>
        <w:t>- prawo do przenoszenia danych osobowych, o którym mowa w art. 20 RODO;</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na podstawie art. 21 RODO prawo sprzeciwu, wobec przetwarzania danych  </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 xml:space="preserve">osobowych, gdyż podstawą prawną przetwarzania Pani/Pana danych  </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osobowych jest art. 6 ust. 1 lit. c RODO</w:t>
      </w:r>
      <w:r>
        <w:rPr>
          <w:rFonts w:eastAsia="Times New Roman" w:cs="Times New Roman" w:ascii="Arial" w:hAnsi="Arial"/>
          <w:sz w:val="22"/>
          <w:szCs w:val="22"/>
          <w:lang w:eastAsia="pl-PL"/>
        </w:rPr>
        <w:t>.</w:t>
      </w:r>
      <w:r>
        <w:rPr>
          <w:rFonts w:eastAsia="Times New Roman" w:cs="Times New Roman" w:ascii="Arial" w:hAnsi="Arial"/>
          <w:b/>
          <w:sz w:val="22"/>
          <w:szCs w:val="22"/>
          <w:lang w:eastAsia="pl-PL"/>
        </w:rPr>
        <w:t xml:space="preserve"> </w:t>
      </w:r>
    </w:p>
    <w:p>
      <w:pPr>
        <w:pStyle w:val="Normal"/>
        <w:ind w:left="720" w:right="0" w:hanging="0"/>
        <w:jc w:val="both"/>
        <w:rPr>
          <w:rFonts w:ascii="Arial" w:hAnsi="Arial" w:eastAsia="Times New Roman" w:cs="Times New Roman"/>
          <w:b/>
          <w:b/>
          <w:sz w:val="22"/>
          <w:szCs w:val="22"/>
          <w:lang w:eastAsia="pl-PL"/>
        </w:rPr>
      </w:pPr>
      <w:r>
        <w:rPr>
          <w:rFonts w:eastAsia="Times New Roman" w:cs="Times New Roman" w:ascii="Arial" w:hAnsi="Arial"/>
          <w:b/>
          <w:sz w:val="22"/>
          <w:szCs w:val="22"/>
          <w:lang w:eastAsia="pl-PL"/>
        </w:rPr>
      </w:r>
    </w:p>
    <w:p>
      <w:pPr>
        <w:pStyle w:val="Normal"/>
        <w:jc w:val="both"/>
        <w:rPr/>
      </w:pPr>
      <w:r>
        <w:rPr>
          <w:rFonts w:cs="Times New Roman"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Skorzystanie z prawa do sprostowania nie może skutkować zmianą wyniku postępowania o udzielenie zamówienia publicznego ani zmianą postanowień umowy  w zakresie niezgodnym</w:t>
        <w:br/>
        <w:t>z ustawą Pzp oraz nie może naruszać integralności protokołu oraz jego załączników.</w:t>
      </w:r>
    </w:p>
    <w:p>
      <w:pPr>
        <w:pStyle w:val="Normal"/>
        <w:jc w:val="both"/>
        <w:rPr>
          <w:rFonts w:ascii="Arial" w:hAnsi="Arial" w:cs="Times New Roman"/>
          <w:sz w:val="22"/>
          <w:szCs w:val="22"/>
        </w:rPr>
      </w:pPr>
      <w:r>
        <w:rPr>
          <w:rFonts w:cs="Times New Roman" w:ascii="Arial" w:hAnsi="Arial"/>
          <w:sz w:val="22"/>
          <w:szCs w:val="22"/>
        </w:rPr>
      </w:r>
    </w:p>
    <w:p>
      <w:pPr>
        <w:pStyle w:val="Normal"/>
        <w:widowControl w:val="false"/>
        <w:jc w:val="both"/>
        <w:rPr/>
      </w:pPr>
      <w:r>
        <w:rPr>
          <w:rFonts w:cs="Times New Roman" w:ascii="Arial" w:hAnsi="Arial"/>
          <w:b/>
          <w:sz w:val="22"/>
          <w:szCs w:val="22"/>
          <w:highlight w:val="white"/>
        </w:rPr>
        <w:t>** Prawo do ograniczenia przetwarzania nie ma zastosowania w odniesieniu do przechowywania, w celu zapewnienia korzystania ze środków ochrony prawnej lub</w:t>
        <w:br/>
        <w:t>w celu ochrony praw innej osoby fizycznej lub prawnej, lub z uwagi na ważne względy interesu publicznego Unii Europejskiej lub państwa członkowskiego.</w:t>
      </w:r>
    </w:p>
    <w:p>
      <w:pPr>
        <w:pStyle w:val="Normal"/>
        <w:widowControl w:val="false"/>
        <w:jc w:val="both"/>
        <w:rPr>
          <w:rFonts w:ascii="Arial" w:hAnsi="Arial" w:eastAsia="Arial;Arial" w:cs="Arial;Arial"/>
          <w:b w:val="false"/>
          <w:b w:val="false"/>
          <w:bCs w:val="false"/>
          <w:color w:val="000000"/>
          <w:sz w:val="22"/>
          <w:szCs w:val="22"/>
          <w:highlight w:val="yellow"/>
        </w:rPr>
      </w:pPr>
      <w:r>
        <w:rPr>
          <w:rFonts w:eastAsia="Arial;Arial" w:cs="Arial;Arial" w:ascii="Arial" w:hAnsi="Arial"/>
          <w:b w:val="false"/>
          <w:bCs w:val="false"/>
          <w:color w:val="000000"/>
          <w:sz w:val="22"/>
          <w:szCs w:val="22"/>
          <w:highlight w:val="yellow"/>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XIX.</w:t>
      </w:r>
    </w:p>
    <w:p>
      <w:pPr>
        <w:pStyle w:val="Normal"/>
        <w:jc w:val="both"/>
        <w:rPr>
          <w:rFonts w:ascii="Arial" w:hAnsi="Arial" w:cs="Arial"/>
          <w:b/>
          <w:b/>
          <w:sz w:val="22"/>
          <w:szCs w:val="22"/>
        </w:rPr>
      </w:pPr>
      <w:r>
        <w:rPr>
          <w:rFonts w:cs="Arial" w:ascii="Arial" w:hAnsi="Arial"/>
          <w:b/>
          <w:sz w:val="22"/>
          <w:szCs w:val="22"/>
        </w:rPr>
        <w:t>DODATKOWE INFORMACJE</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1. Zamawiający nie zamierza zwołać zebrania Wykonawców.</w:t>
      </w:r>
    </w:p>
    <w:p>
      <w:pPr>
        <w:pStyle w:val="Normal"/>
        <w:rPr/>
      </w:pPr>
      <w:r>
        <w:rPr>
          <w:rFonts w:ascii="Arial" w:hAnsi="Arial"/>
          <w:sz w:val="22"/>
          <w:szCs w:val="22"/>
        </w:rPr>
        <w:t>2. Zamawiający nie dopuszcza możliwości składania ofert wariantowych.</w:t>
      </w:r>
    </w:p>
    <w:p>
      <w:pPr>
        <w:pStyle w:val="Normal"/>
        <w:rPr/>
      </w:pPr>
      <w:r>
        <w:rPr>
          <w:rFonts w:ascii="Arial" w:hAnsi="Arial"/>
          <w:sz w:val="22"/>
          <w:szCs w:val="22"/>
        </w:rPr>
        <w:t xml:space="preserve">3. Zamawiający nie przewiduje zwrotu kosztów udziału w Postępowaniu, z wyjątkiem sytuacji opisanej w art. 93 ust. 4 ustawy Pzp. </w:t>
      </w:r>
    </w:p>
    <w:p>
      <w:pPr>
        <w:pStyle w:val="Normal"/>
        <w:rPr/>
      </w:pPr>
      <w:r>
        <w:rPr>
          <w:rFonts w:ascii="Arial" w:hAnsi="Arial"/>
          <w:sz w:val="22"/>
          <w:szCs w:val="22"/>
        </w:rPr>
        <w:t xml:space="preserve">4. Zamawiający nie przewiduje prowadzenia aukcji elektronicznej. </w:t>
      </w:r>
    </w:p>
    <w:p>
      <w:pPr>
        <w:pStyle w:val="Normal"/>
        <w:rPr/>
      </w:pPr>
      <w:r>
        <w:rPr>
          <w:rFonts w:ascii="Arial" w:hAnsi="Arial"/>
          <w:sz w:val="22"/>
          <w:szCs w:val="22"/>
        </w:rPr>
        <w:t xml:space="preserve">5. Zamawiający nie przewiduje stosowania dynamicznego systemu zakupów. </w:t>
      </w:r>
    </w:p>
    <w:p>
      <w:pPr>
        <w:pStyle w:val="Normal"/>
        <w:rPr/>
      </w:pPr>
      <w:r>
        <w:rPr>
          <w:rFonts w:ascii="Arial" w:hAnsi="Arial"/>
          <w:sz w:val="22"/>
          <w:szCs w:val="22"/>
        </w:rPr>
        <w:t xml:space="preserve">6. Zamawiający nie przewiduje zawarcia umowy ramowej. </w:t>
      </w:r>
    </w:p>
    <w:p>
      <w:pPr>
        <w:pStyle w:val="Normal"/>
        <w:rPr/>
      </w:pPr>
      <w:r>
        <w:rPr>
          <w:rFonts w:ascii="Arial" w:hAnsi="Arial"/>
          <w:sz w:val="22"/>
          <w:szCs w:val="22"/>
        </w:rPr>
        <w:t xml:space="preserve">7. Zamawiający nie wymaga wniesienia zabezpieczenia należytego wykonania umowy. </w:t>
      </w:r>
    </w:p>
    <w:p>
      <w:pPr>
        <w:pStyle w:val="Normal"/>
        <w:rPr/>
      </w:pPr>
      <w:r>
        <w:rPr>
          <w:rFonts w:ascii="Arial" w:hAnsi="Arial"/>
          <w:sz w:val="22"/>
          <w:szCs w:val="22"/>
        </w:rPr>
        <w:t>8. Wykonawca może powierzyć wykonanie części zamówienia podwykonawcy.</w:t>
      </w:r>
    </w:p>
    <w:p>
      <w:pPr>
        <w:pStyle w:val="Normal"/>
        <w:rPr/>
      </w:pPr>
      <w:r>
        <w:rPr>
          <w:rFonts w:eastAsia="Arial;Arial" w:cs="Arial;Arial" w:ascii="Arial" w:hAnsi="Arial"/>
          <w:color w:val="000000"/>
          <w:sz w:val="22"/>
          <w:szCs w:val="22"/>
        </w:rPr>
        <w:t xml:space="preserve">9. </w:t>
      </w:r>
      <w:r>
        <w:rPr>
          <w:rFonts w:cs="Arial" w:ascii="Arial" w:hAnsi="Arial"/>
          <w:sz w:val="22"/>
          <w:szCs w:val="22"/>
          <w:highlight w:val="white"/>
        </w:rPr>
        <w:t xml:space="preserve">Zamawiający  dopuszcza składanie ofert częściowych. </w:t>
      </w:r>
    </w:p>
    <w:p>
      <w:pPr>
        <w:pStyle w:val="Normal"/>
        <w:rPr/>
      </w:pPr>
      <w:r>
        <w:rPr>
          <w:rFonts w:ascii="Arial" w:hAnsi="Arial"/>
          <w:sz w:val="22"/>
          <w:szCs w:val="22"/>
        </w:rPr>
        <w:t>10. Zamawiający nie przewiduje zamówień uzupełniających.</w:t>
      </w:r>
    </w:p>
    <w:p>
      <w:pPr>
        <w:pStyle w:val="Normal"/>
        <w:rPr/>
      </w:pPr>
      <w:r>
        <w:rPr>
          <w:rFonts w:ascii="Arial" w:hAnsi="Arial"/>
          <w:sz w:val="22"/>
          <w:szCs w:val="22"/>
        </w:rPr>
        <w:t>11. Rozliczenia z Wykonawcą będą prowadzone wyłącznie w walucie polskiej.</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cs="Arial"/>
          <w:color w:val="00000A"/>
          <w:sz w:val="22"/>
          <w:szCs w:val="22"/>
          <w:u w:val="single"/>
        </w:rPr>
      </w:pPr>
      <w:r>
        <w:rPr>
          <w:rFonts w:cs="Arial" w:ascii="Arial" w:hAnsi="Arial"/>
          <w:color w:val="00000A"/>
          <w:sz w:val="22"/>
          <w:szCs w:val="22"/>
          <w:u w:val="single"/>
        </w:rPr>
        <w:t>Załączniki do SIWZ:</w:t>
      </w:r>
    </w:p>
    <w:p>
      <w:pPr>
        <w:pStyle w:val="Normal"/>
        <w:jc w:val="both"/>
        <w:rPr/>
      </w:pPr>
      <w:r>
        <w:rPr>
          <w:rFonts w:cs="Arial" w:ascii="Arial" w:hAnsi="Arial"/>
          <w:color w:val="00000A"/>
          <w:sz w:val="22"/>
          <w:szCs w:val="22"/>
        </w:rPr>
        <w:t xml:space="preserve">Załącznik 1 – Formularz ofertowy. </w:t>
      </w:r>
    </w:p>
    <w:p>
      <w:pPr>
        <w:pStyle w:val="Normal"/>
        <w:jc w:val="both"/>
        <w:rPr/>
      </w:pPr>
      <w:r>
        <w:rPr>
          <w:rFonts w:cs="Arial" w:ascii="Arial" w:hAnsi="Arial"/>
          <w:color w:val="00000A"/>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color w:val="00000A"/>
          <w:sz w:val="22"/>
          <w:szCs w:val="22"/>
          <w:u w:val="none"/>
          <w:em w:val="none"/>
        </w:rPr>
        <w:t>Szczegółowy opis przedmiotu zamówienia, Parametry graniczne aparatów.</w:t>
      </w:r>
    </w:p>
    <w:p>
      <w:pPr>
        <w:pStyle w:val="Normal"/>
        <w:jc w:val="both"/>
        <w:rPr/>
      </w:pPr>
      <w:r>
        <w:rPr>
          <w:rFonts w:cs="Arial" w:ascii="Arial" w:hAnsi="Arial"/>
          <w:color w:val="00000A"/>
          <w:sz w:val="22"/>
          <w:szCs w:val="22"/>
        </w:rPr>
        <w:t>Załącznik 3, 3a – Oświadczenia.</w:t>
      </w:r>
    </w:p>
    <w:p>
      <w:pPr>
        <w:pStyle w:val="Normal"/>
        <w:jc w:val="both"/>
        <w:rPr/>
      </w:pPr>
      <w:r>
        <w:rPr>
          <w:rFonts w:cs="Arial" w:ascii="Arial" w:hAnsi="Arial"/>
          <w:color w:val="00000A"/>
          <w:sz w:val="22"/>
          <w:szCs w:val="22"/>
        </w:rPr>
        <w:t xml:space="preserve">Załącznik 4, 4a – Projekty umów. </w:t>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 xml:space="preserve">Proszowice, dnia 17.04. 2020 r.                                               </w:t>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 xml:space="preserve">                                                                                                              </w:t>
      </w:r>
      <w:r>
        <w:rPr>
          <w:rFonts w:cs="Arial" w:ascii="Arial" w:hAnsi="Arial"/>
          <w:sz w:val="22"/>
          <w:szCs w:val="22"/>
        </w:rPr>
        <w:t>Zatwierdzam:</w:t>
      </w:r>
    </w:p>
    <w:p>
      <w:pPr>
        <w:pStyle w:val="Normal"/>
        <w:jc w:val="both"/>
        <w:rPr/>
      </w:pPr>
      <w:r>
        <w:rPr>
          <w:rFonts w:cs="Arial" w:ascii="Arial" w:hAnsi="Arial"/>
          <w:sz w:val="22"/>
          <w:szCs w:val="22"/>
        </w:rPr>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Sporządził: Marianna Maj</w:t>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b/>
          <w:sz w:val="22"/>
          <w:szCs w:val="22"/>
        </w:rPr>
        <w:t xml:space="preserve">                                                                                                                          </w:t>
      </w:r>
    </w:p>
    <w:sectPr>
      <w:type w:val="nextPage"/>
      <w:pgSz w:w="11906" w:h="16838"/>
      <w:pgMar w:left="1134"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rFonts w:ascii="Arial" w:hAnsi="Arial"/>
      <w:b/>
      <w:bCs/>
      <w:sz w:val="22"/>
    </w:rPr>
  </w:style>
  <w:style w:type="character" w:styleId="ListLabel7">
    <w:name w:val="ListLabel 7"/>
    <w:qFormat/>
    <w:rPr>
      <w:b/>
      <w:bCs/>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ascii="Arial" w:hAnsi="Arial"/>
      <w:b w:val="false"/>
      <w:bCs/>
      <w:sz w:val="22"/>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rFonts w:ascii="Arial" w:hAnsi="Arial"/>
      <w:b w:val="false"/>
      <w:sz w:val="22"/>
    </w:rPr>
  </w:style>
  <w:style w:type="character" w:styleId="ListLabel27">
    <w:name w:val="ListLabel 27"/>
    <w:qFormat/>
    <w:rPr>
      <w:rFonts w:ascii="Arial" w:hAnsi="Arial"/>
      <w:b/>
      <w:sz w:val="22"/>
    </w:rPr>
  </w:style>
  <w:style w:type="character" w:styleId="ListLabel28">
    <w:name w:val="ListLabel 28"/>
    <w:qFormat/>
    <w:rPr>
      <w:rFonts w:ascii="Arial" w:hAnsi="Arial"/>
      <w:b/>
      <w:bCs/>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Arial" w:hAnsi="Arial"/>
      <w:b w:val="false"/>
      <w:bCs/>
      <w:sz w:val="22"/>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2"/>
    </w:rPr>
  </w:style>
  <w:style w:type="character" w:styleId="ListLabel1057">
    <w:name w:val="ListLabel 1057"/>
    <w:qFormat/>
    <w:rPr>
      <w:rFonts w:ascii="Arial" w:hAnsi="Arial"/>
      <w:b/>
      <w:bCs/>
      <w:sz w:val="22"/>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ascii="Arial" w:hAnsi="Arial"/>
      <w:b w:val="false"/>
      <w:bCs/>
      <w:sz w:val="22"/>
    </w:rPr>
  </w:style>
  <w:style w:type="character" w:styleId="ListLabel1068">
    <w:name w:val="ListLabel 1068"/>
    <w:qFormat/>
    <w:rPr>
      <w:b/>
      <w:bCs/>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rFonts w:ascii="Arial" w:hAnsi="Arial"/>
      <w:b w:val="false"/>
      <w:sz w:val="22"/>
    </w:rPr>
  </w:style>
  <w:style w:type="character" w:styleId="ListLabel1077">
    <w:name w:val="ListLabel 1077"/>
    <w:qFormat/>
    <w:rPr>
      <w:rFonts w:ascii="Arial" w:hAnsi="Arial"/>
      <w:b/>
      <w:sz w:val="22"/>
    </w:rPr>
  </w:style>
  <w:style w:type="character" w:styleId="ListLabel1078">
    <w:name w:val="ListLabel 1078"/>
    <w:qFormat/>
    <w:rPr>
      <w:rFonts w:ascii="Arial" w:hAnsi="Arial"/>
      <w:b/>
      <w:bCs/>
      <w:sz w:val="22"/>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ascii="Arial" w:hAnsi="Arial"/>
      <w:b w:val="false"/>
      <w:bCs/>
      <w:sz w:val="22"/>
    </w:rPr>
  </w:style>
  <w:style w:type="character" w:styleId="ListLabel1089">
    <w:name w:val="ListLabel 1089"/>
    <w:qFormat/>
    <w:rPr>
      <w:b/>
      <w:bCs/>
    </w:rPr>
  </w:style>
  <w:style w:type="character" w:styleId="ListLabel1090">
    <w:name w:val="ListLabel 1090"/>
    <w:qFormat/>
    <w:rPr>
      <w:b/>
      <w:bCs/>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rFonts w:ascii="Arial" w:hAnsi="Arial"/>
      <w:b w:val="false"/>
      <w:sz w:val="22"/>
    </w:rPr>
  </w:style>
  <w:style w:type="character" w:styleId="ListLabel1098">
    <w:name w:val="ListLabel 1098"/>
    <w:qFormat/>
    <w:rPr>
      <w:rFonts w:ascii="Arial" w:hAnsi="Arial"/>
      <w:b/>
      <w:sz w:val="22"/>
    </w:rPr>
  </w:style>
  <w:style w:type="character" w:styleId="ListLabel1099">
    <w:name w:val="ListLabel 1099"/>
    <w:qFormat/>
    <w:rPr>
      <w:rFonts w:ascii="Arial" w:hAnsi="Arial"/>
      <w:b/>
      <w:bCs/>
      <w:sz w:val="22"/>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ascii="Arial" w:hAnsi="Arial"/>
      <w:b w:val="false"/>
      <w:bCs/>
      <w:sz w:val="22"/>
    </w:rPr>
  </w:style>
  <w:style w:type="character" w:styleId="ListLabel1110">
    <w:name w:val="ListLabel 1110"/>
    <w:qFormat/>
    <w:rPr>
      <w:b/>
      <w:bCs/>
    </w:rPr>
  </w:style>
  <w:style w:type="character" w:styleId="ListLabel1111">
    <w:name w:val="ListLabel 1111"/>
    <w:qFormat/>
    <w:rPr>
      <w:b/>
      <w:bCs/>
    </w:rPr>
  </w:style>
  <w:style w:type="character" w:styleId="ListLabel1112">
    <w:name w:val="ListLabel 1112"/>
    <w:qFormat/>
    <w:rPr>
      <w:b/>
      <w:bCs/>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WWCharLFO25LVL1">
    <w:name w:val="WW_CharLFO25LVL1"/>
    <w:qFormat/>
    <w:rPr>
      <w:rFonts w:ascii="Symbol" w:hAnsi="Symbol"/>
    </w:rPr>
  </w:style>
  <w:style w:type="character" w:styleId="WWCharLFO25LVL2">
    <w:name w:val="WW_CharLFO25LVL2"/>
    <w:qFormat/>
    <w:rPr>
      <w:rFonts w:ascii="OpenSymbol" w:hAnsi="OpenSymbol"/>
    </w:rPr>
  </w:style>
  <w:style w:type="character" w:styleId="WWCharLFO25LVL3">
    <w:name w:val="WW_CharLFO25LVL3"/>
    <w:qFormat/>
    <w:rPr>
      <w:rFonts w:ascii="OpenSymbol" w:hAnsi="OpenSymbol"/>
    </w:rPr>
  </w:style>
  <w:style w:type="character" w:styleId="WWCharLFO25LVL4">
    <w:name w:val="WW_CharLFO25LVL4"/>
    <w:qFormat/>
    <w:rPr>
      <w:rFonts w:ascii="Symbol" w:hAnsi="Symbol"/>
    </w:rPr>
  </w:style>
  <w:style w:type="character" w:styleId="WWCharLFO25LVL5">
    <w:name w:val="WW_CharLFO25LVL5"/>
    <w:qFormat/>
    <w:rPr>
      <w:rFonts w:ascii="OpenSymbol" w:hAnsi="OpenSymbol"/>
    </w:rPr>
  </w:style>
  <w:style w:type="character" w:styleId="WWCharLFO25LVL6">
    <w:name w:val="WW_CharLFO25LVL6"/>
    <w:qFormat/>
    <w:rPr>
      <w:rFonts w:ascii="OpenSymbol" w:hAnsi="OpenSymbol"/>
    </w:rPr>
  </w:style>
  <w:style w:type="character" w:styleId="WWCharLFO25LVL7">
    <w:name w:val="WW_CharLFO25LVL7"/>
    <w:qFormat/>
    <w:rPr>
      <w:rFonts w:ascii="Symbol" w:hAnsi="Symbol"/>
    </w:rPr>
  </w:style>
  <w:style w:type="character" w:styleId="WWCharLFO25LVL8">
    <w:name w:val="WW_CharLFO25LVL8"/>
    <w:qFormat/>
    <w:rPr>
      <w:rFonts w:ascii="OpenSymbol" w:hAnsi="OpenSymbol"/>
    </w:rPr>
  </w:style>
  <w:style w:type="character" w:styleId="WWCharLFO25LVL9">
    <w:name w:val="WW_CharLFO25LVL9"/>
    <w:qFormat/>
    <w:rPr>
      <w:rFonts w:ascii="OpenSymbol" w:hAnsi="OpenSymbol"/>
    </w:rPr>
  </w:style>
  <w:style w:type="character" w:styleId="WWCharLFO26LVL1">
    <w:name w:val="WW_CharLFO26LVL1"/>
    <w:qFormat/>
    <w:rPr>
      <w:rFonts w:ascii="Symbol" w:hAnsi="Symbol" w:cs="OpenSymbol"/>
    </w:rPr>
  </w:style>
  <w:style w:type="character" w:styleId="WWCharLFO26LVL2">
    <w:name w:val="WW_CharLFO26LVL2"/>
    <w:qFormat/>
    <w:rPr>
      <w:rFonts w:ascii="OpenSymbol" w:hAnsi="OpenSymbol" w:cs="OpenSymbol"/>
    </w:rPr>
  </w:style>
  <w:style w:type="character" w:styleId="WWCharLFO26LVL3">
    <w:name w:val="WW_CharLFO26LVL3"/>
    <w:qFormat/>
    <w:rPr>
      <w:rFonts w:ascii="OpenSymbol" w:hAnsi="OpenSymbol" w:cs="OpenSymbol"/>
    </w:rPr>
  </w:style>
  <w:style w:type="character" w:styleId="WWCharLFO26LVL4">
    <w:name w:val="WW_CharLFO26LVL4"/>
    <w:qFormat/>
    <w:rPr>
      <w:rFonts w:ascii="Symbol" w:hAnsi="Symbol" w:cs="OpenSymbol"/>
    </w:rPr>
  </w:style>
  <w:style w:type="character" w:styleId="WWCharLFO26LVL5">
    <w:name w:val="WW_CharLFO26LVL5"/>
    <w:qFormat/>
    <w:rPr>
      <w:rFonts w:ascii="OpenSymbol" w:hAnsi="OpenSymbol" w:cs="OpenSymbol"/>
    </w:rPr>
  </w:style>
  <w:style w:type="character" w:styleId="WWCharLFO26LVL6">
    <w:name w:val="WW_CharLFO26LVL6"/>
    <w:qFormat/>
    <w:rPr>
      <w:rFonts w:ascii="OpenSymbol" w:hAnsi="OpenSymbol" w:cs="OpenSymbol"/>
    </w:rPr>
  </w:style>
  <w:style w:type="character" w:styleId="WWCharLFO26LVL7">
    <w:name w:val="WW_CharLFO26LVL7"/>
    <w:qFormat/>
    <w:rPr>
      <w:rFonts w:ascii="Symbol" w:hAnsi="Symbol" w:cs="OpenSymbol"/>
    </w:rPr>
  </w:style>
  <w:style w:type="character" w:styleId="WWCharLFO26LVL8">
    <w:name w:val="WW_CharLFO26LVL8"/>
    <w:qFormat/>
    <w:rPr>
      <w:rFonts w:ascii="OpenSymbol" w:hAnsi="OpenSymbol" w:cs="OpenSymbol"/>
    </w:rPr>
  </w:style>
  <w:style w:type="character" w:styleId="WWCharLFO26LVL9">
    <w:name w:val="WW_CharLFO26LVL9"/>
    <w:qFormat/>
    <w:rPr>
      <w:rFonts w:ascii="OpenSymbol" w:hAnsi="OpenSymbol" w:cs="OpenSymbol"/>
    </w:rPr>
  </w:style>
  <w:style w:type="character" w:styleId="ListLabel1118">
    <w:name w:val="ListLabel 1118"/>
    <w:qFormat/>
    <w:rPr>
      <w:rFonts w:ascii="Arial" w:hAnsi="Arial"/>
      <w:b w:val="false"/>
      <w:sz w:val="22"/>
    </w:rPr>
  </w:style>
  <w:style w:type="character" w:styleId="ListLabel1119">
    <w:name w:val="ListLabel 1119"/>
    <w:qFormat/>
    <w:rPr>
      <w:rFonts w:ascii="Arial" w:hAnsi="Arial"/>
      <w:b/>
      <w:sz w:val="22"/>
    </w:rPr>
  </w:style>
  <w:style w:type="character" w:styleId="ListLabel1120">
    <w:name w:val="ListLabel 1120"/>
    <w:qFormat/>
    <w:rPr>
      <w:rFonts w:ascii="Arial" w:hAnsi="Arial"/>
      <w:b/>
      <w:bCs/>
      <w:sz w:val="22"/>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ascii="Arial" w:hAnsi="Arial"/>
      <w:b/>
      <w:bCs/>
      <w:sz w:val="22"/>
    </w:rPr>
  </w:style>
  <w:style w:type="character" w:styleId="ListLabel1131">
    <w:name w:val="ListLabel 1131"/>
    <w:qFormat/>
    <w:rPr>
      <w:b/>
      <w:bCs/>
    </w:rPr>
  </w:style>
  <w:style w:type="character" w:styleId="ListLabel1132">
    <w:name w:val="ListLabel 1132"/>
    <w:qFormat/>
    <w:rPr>
      <w:b/>
      <w:bCs/>
    </w:rPr>
  </w:style>
  <w:style w:type="character" w:styleId="ListLabel1133">
    <w:name w:val="ListLabel 1133"/>
    <w:qFormat/>
    <w:rPr>
      <w:b/>
      <w:bCs/>
    </w:rPr>
  </w:style>
  <w:style w:type="character" w:styleId="ListLabel1134">
    <w:name w:val="ListLabel 1134"/>
    <w:qFormat/>
    <w:rPr>
      <w:b/>
      <w:bCs/>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rFonts w:cs="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ascii="Arial" w:hAnsi="Arial" w:cs="OpenSymbol"/>
      <w:sz w:val="22"/>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ascii="Arial" w:hAnsi="Arial"/>
      <w:b w:val="false"/>
      <w:sz w:val="22"/>
    </w:rPr>
  </w:style>
  <w:style w:type="character" w:styleId="ListLabel1158">
    <w:name w:val="ListLabel 1158"/>
    <w:qFormat/>
    <w:rPr>
      <w:rFonts w:ascii="Arial" w:hAnsi="Arial"/>
      <w:b/>
      <w:sz w:val="22"/>
    </w:rPr>
  </w:style>
  <w:style w:type="character" w:styleId="ListLabel1159">
    <w:name w:val="ListLabel 1159"/>
    <w:qFormat/>
    <w:rPr>
      <w:rFonts w:ascii="Arial" w:hAnsi="Arial"/>
      <w:b/>
      <w:bCs/>
      <w:sz w:val="22"/>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ascii="Arial" w:hAnsi="Arial"/>
      <w:b/>
      <w:bCs/>
      <w:sz w:val="22"/>
    </w:rPr>
  </w:style>
  <w:style w:type="character" w:styleId="ListLabel1170">
    <w:name w:val="ListLabel 1170"/>
    <w:qFormat/>
    <w:rPr>
      <w:b/>
      <w:bCs/>
    </w:rPr>
  </w:style>
  <w:style w:type="character" w:styleId="ListLabel1171">
    <w:name w:val="ListLabel 1171"/>
    <w:qFormat/>
    <w:rPr>
      <w:b/>
      <w:bCs/>
    </w:rPr>
  </w:style>
  <w:style w:type="character" w:styleId="ListLabel1172">
    <w:name w:val="ListLabel 1172"/>
    <w:qFormat/>
    <w:rPr>
      <w:b/>
      <w:bCs/>
    </w:rPr>
  </w:style>
  <w:style w:type="character" w:styleId="ListLabel1173">
    <w:name w:val="ListLabel 1173"/>
    <w:qFormat/>
    <w:rPr>
      <w:b/>
      <w:bCs/>
    </w:rPr>
  </w:style>
  <w:style w:type="character" w:styleId="ListLabel1174">
    <w:name w:val="ListLabel 1174"/>
    <w:qFormat/>
    <w:rPr>
      <w:b/>
      <w:bCs/>
    </w:rPr>
  </w:style>
  <w:style w:type="character" w:styleId="ListLabel1175">
    <w:name w:val="ListLabel 1175"/>
    <w:qFormat/>
    <w:rPr>
      <w:b/>
      <w:bCs/>
    </w:rPr>
  </w:style>
  <w:style w:type="character" w:styleId="ListLabel1176">
    <w:name w:val="ListLabel 1176"/>
    <w:qFormat/>
    <w:rPr>
      <w:b/>
      <w:bCs/>
    </w:rPr>
  </w:style>
  <w:style w:type="character" w:styleId="ListLabel1177">
    <w:name w:val="ListLabel 1177"/>
    <w:qFormat/>
    <w:rPr>
      <w:b/>
      <w:bCs/>
    </w:rPr>
  </w:style>
  <w:style w:type="character" w:styleId="ListLabel1178">
    <w:name w:val="ListLabel 1178"/>
    <w:qFormat/>
    <w:rPr>
      <w:rFonts w:cs="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ascii="Arial" w:hAnsi="Arial" w:cs="OpenSymbol"/>
      <w:sz w:val="22"/>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ascii="Arial" w:hAnsi="Arial"/>
      <w:b w:val="false"/>
      <w:sz w:val="22"/>
    </w:rPr>
  </w:style>
  <w:style w:type="character" w:styleId="ListLabel1197">
    <w:name w:val="ListLabel 1197"/>
    <w:qFormat/>
    <w:rPr>
      <w:rFonts w:ascii="Arial" w:hAnsi="Arial"/>
      <w:b/>
      <w:sz w:val="22"/>
    </w:rPr>
  </w:style>
  <w:style w:type="character" w:styleId="ListLabel1198">
    <w:name w:val="ListLabel 1198"/>
    <w:qFormat/>
    <w:rPr>
      <w:rFonts w:ascii="Arial" w:hAnsi="Arial"/>
      <w:b/>
      <w:bCs/>
      <w:sz w:val="22"/>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ascii="Arial" w:hAnsi="Arial"/>
      <w:b/>
      <w:bCs/>
      <w:sz w:val="22"/>
    </w:rPr>
  </w:style>
  <w:style w:type="character" w:styleId="ListLabel1209">
    <w:name w:val="ListLabel 1209"/>
    <w:qFormat/>
    <w:rPr>
      <w:b/>
      <w:bCs/>
    </w:rPr>
  </w:style>
  <w:style w:type="character" w:styleId="ListLabel1210">
    <w:name w:val="ListLabel 1210"/>
    <w:qFormat/>
    <w:rPr>
      <w:b/>
      <w:bCs/>
    </w:rPr>
  </w:style>
  <w:style w:type="character" w:styleId="ListLabel1211">
    <w:name w:val="ListLabel 1211"/>
    <w:qFormat/>
    <w:rPr>
      <w:b/>
      <w:bCs/>
    </w:rPr>
  </w:style>
  <w:style w:type="character" w:styleId="ListLabel1212">
    <w:name w:val="ListLabel 1212"/>
    <w:qFormat/>
    <w:rPr>
      <w:b/>
      <w:bCs/>
    </w:rPr>
  </w:style>
  <w:style w:type="character" w:styleId="ListLabel1213">
    <w:name w:val="ListLabel 1213"/>
    <w:qFormat/>
    <w:rPr>
      <w:b/>
      <w:bCs/>
    </w:rPr>
  </w:style>
  <w:style w:type="character" w:styleId="ListLabel1214">
    <w:name w:val="ListLabel 1214"/>
    <w:qFormat/>
    <w:rPr>
      <w:b/>
      <w:bCs/>
    </w:rPr>
  </w:style>
  <w:style w:type="character" w:styleId="ListLabel1215">
    <w:name w:val="ListLabel 1215"/>
    <w:qFormat/>
    <w:rPr>
      <w:b/>
      <w:bCs/>
    </w:rPr>
  </w:style>
  <w:style w:type="character" w:styleId="ListLabel1216">
    <w:name w:val="ListLabel 1216"/>
    <w:qFormat/>
    <w:rPr>
      <w:b/>
      <w:bCs/>
    </w:rPr>
  </w:style>
  <w:style w:type="character" w:styleId="ListLabel1217">
    <w:name w:val="ListLabel 1217"/>
    <w:qFormat/>
    <w:rPr>
      <w:rFonts w:cs="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ascii="Arial" w:hAnsi="Arial" w:cs="OpenSymbol"/>
      <w:sz w:val="22"/>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ascii="Arial" w:hAnsi="Arial"/>
      <w:b w:val="false"/>
      <w:sz w:val="22"/>
    </w:rPr>
  </w:style>
  <w:style w:type="character" w:styleId="ListLabel1236">
    <w:name w:val="ListLabel 1236"/>
    <w:qFormat/>
    <w:rPr>
      <w:rFonts w:ascii="Arial" w:hAnsi="Arial"/>
      <w:b/>
      <w:sz w:val="22"/>
    </w:rPr>
  </w:style>
  <w:style w:type="character" w:styleId="ListLabel1237">
    <w:name w:val="ListLabel 1237"/>
    <w:qFormat/>
    <w:rPr>
      <w:rFonts w:ascii="Arial" w:hAnsi="Arial"/>
      <w:b/>
      <w:bCs/>
      <w:sz w:val="22"/>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ascii="Arial" w:hAnsi="Arial"/>
      <w:b/>
      <w:bCs/>
      <w:sz w:val="22"/>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b/>
      <w:bCs/>
    </w:rPr>
  </w:style>
  <w:style w:type="character" w:styleId="ListLabel1254">
    <w:name w:val="ListLabel 1254"/>
    <w:qFormat/>
    <w:rPr>
      <w:b/>
      <w:bCs/>
    </w:rPr>
  </w:style>
  <w:style w:type="character" w:styleId="ListLabel1255">
    <w:name w:val="ListLabel 1255"/>
    <w:qFormat/>
    <w:rPr>
      <w:b/>
      <w:bCs/>
    </w:rPr>
  </w:style>
  <w:style w:type="character" w:styleId="ListLabel1256">
    <w:name w:val="ListLabel 1256"/>
    <w:qFormat/>
    <w:rPr>
      <w:rFonts w:cs="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ascii="Arial" w:hAnsi="Arial" w:cs="OpenSymbol"/>
      <w:sz w:val="22"/>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ascii="Arial" w:hAnsi="Arial"/>
      <w:b w:val="false"/>
      <w:sz w:val="22"/>
    </w:rPr>
  </w:style>
  <w:style w:type="character" w:styleId="ListLabel1275">
    <w:name w:val="ListLabel 1275"/>
    <w:qFormat/>
    <w:rPr>
      <w:rFonts w:ascii="Arial" w:hAnsi="Arial"/>
      <w:b/>
      <w:sz w:val="22"/>
    </w:rPr>
  </w:style>
  <w:style w:type="character" w:styleId="ListLabel1276">
    <w:name w:val="ListLabel 1276"/>
    <w:qFormat/>
    <w:rPr>
      <w:b/>
      <w:bCs/>
      <w:sz w:val="22"/>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ascii="Arial" w:hAnsi="Arial"/>
      <w:b/>
      <w:bCs/>
      <w:sz w:val="22"/>
    </w:rPr>
  </w:style>
  <w:style w:type="character" w:styleId="ListLabel1287">
    <w:name w:val="ListLabel 1287"/>
    <w:qFormat/>
    <w:rPr>
      <w:b/>
      <w:bCs/>
    </w:rPr>
  </w:style>
  <w:style w:type="character" w:styleId="ListLabel1288">
    <w:name w:val="ListLabel 1288"/>
    <w:qFormat/>
    <w:rPr>
      <w:b/>
      <w:bCs/>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rFonts w:cs="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ascii="Arial" w:hAnsi="Arial" w:cs="OpenSymbol"/>
      <w:sz w:val="22"/>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ascii="Arial" w:hAnsi="Arial"/>
      <w:b w:val="false"/>
      <w:sz w:val="22"/>
    </w:rPr>
  </w:style>
  <w:style w:type="character" w:styleId="ListLabel1314">
    <w:name w:val="ListLabel 1314"/>
    <w:qFormat/>
    <w:rPr>
      <w:rFonts w:ascii="Arial" w:hAnsi="Arial"/>
      <w:b/>
      <w:sz w:val="22"/>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ascii="Arial" w:hAnsi="Arial"/>
      <w:b w:val="false"/>
      <w:bCs w:val="false"/>
      <w:sz w:val="22"/>
    </w:rPr>
  </w:style>
  <w:style w:type="character" w:styleId="ListLabel1325">
    <w:name w:val="ListLabel 1325"/>
    <w:qFormat/>
    <w:rPr>
      <w:b/>
      <w:bCs/>
    </w:rPr>
  </w:style>
  <w:style w:type="character" w:styleId="ListLabel1326">
    <w:name w:val="ListLabel 1326"/>
    <w:qFormat/>
    <w:rPr>
      <w:b/>
      <w:bCs/>
    </w:rPr>
  </w:style>
  <w:style w:type="character" w:styleId="ListLabel1327">
    <w:name w:val="ListLabel 1327"/>
    <w:qFormat/>
    <w:rPr>
      <w:b/>
      <w:bCs/>
    </w:rPr>
  </w:style>
  <w:style w:type="character" w:styleId="ListLabel1328">
    <w:name w:val="ListLabel 1328"/>
    <w:qFormat/>
    <w:rPr>
      <w:b/>
      <w:bCs/>
    </w:rPr>
  </w:style>
  <w:style w:type="character" w:styleId="ListLabel1329">
    <w:name w:val="ListLabel 1329"/>
    <w:qFormat/>
    <w:rPr>
      <w:b/>
      <w:bCs/>
    </w:rPr>
  </w:style>
  <w:style w:type="character" w:styleId="ListLabel1330">
    <w:name w:val="ListLabel 1330"/>
    <w:qFormat/>
    <w:rPr>
      <w:b/>
      <w:bCs/>
    </w:rPr>
  </w:style>
  <w:style w:type="character" w:styleId="ListLabel1331">
    <w:name w:val="ListLabel 1331"/>
    <w:qFormat/>
    <w:rPr>
      <w:b/>
      <w:bCs/>
    </w:rPr>
  </w:style>
  <w:style w:type="character" w:styleId="ListLabel1332">
    <w:name w:val="ListLabel 1332"/>
    <w:qFormat/>
    <w:rPr>
      <w:b/>
      <w:bCs/>
    </w:rPr>
  </w:style>
  <w:style w:type="character" w:styleId="ListLabel1333">
    <w:name w:val="ListLabel 1333"/>
    <w:qFormat/>
    <w:rPr>
      <w:rFonts w:cs="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ascii="Arial" w:hAnsi="Arial" w:cs="OpenSymbol"/>
      <w:sz w:val="22"/>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ascii="Arial" w:hAnsi="Arial"/>
      <w:b w:val="false"/>
      <w:sz w:val="22"/>
    </w:rPr>
  </w:style>
  <w:style w:type="character" w:styleId="ListLabel1352">
    <w:name w:val="ListLabel 1352"/>
    <w:qFormat/>
    <w:rPr>
      <w:rFonts w:ascii="Arial" w:hAnsi="Arial"/>
      <w:b/>
      <w:sz w:val="22"/>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ascii="Arial" w:hAnsi="Arial"/>
      <w:b w:val="false"/>
      <w:bCs w:val="false"/>
      <w:sz w:val="22"/>
    </w:rPr>
  </w:style>
  <w:style w:type="character" w:styleId="ListLabel1363">
    <w:name w:val="ListLabel 1363"/>
    <w:qFormat/>
    <w:rPr>
      <w:b/>
      <w:bCs/>
    </w:rPr>
  </w:style>
  <w:style w:type="character" w:styleId="ListLabel1364">
    <w:name w:val="ListLabel 1364"/>
    <w:qFormat/>
    <w:rPr>
      <w:b/>
      <w:bCs/>
    </w:rPr>
  </w:style>
  <w:style w:type="character" w:styleId="ListLabel1365">
    <w:name w:val="ListLabel 1365"/>
    <w:qFormat/>
    <w:rPr>
      <w:b/>
      <w:bCs/>
    </w:rPr>
  </w:style>
  <w:style w:type="character" w:styleId="ListLabel1366">
    <w:name w:val="ListLabel 1366"/>
    <w:qFormat/>
    <w:rPr>
      <w:b/>
      <w:bCs/>
    </w:rPr>
  </w:style>
  <w:style w:type="character" w:styleId="ListLabel1367">
    <w:name w:val="ListLabel 1367"/>
    <w:qFormat/>
    <w:rPr>
      <w:b/>
      <w:bCs/>
    </w:rPr>
  </w:style>
  <w:style w:type="character" w:styleId="ListLabel1368">
    <w:name w:val="ListLabel 1368"/>
    <w:qFormat/>
    <w:rPr>
      <w:b/>
      <w:bCs/>
    </w:rPr>
  </w:style>
  <w:style w:type="character" w:styleId="ListLabel1369">
    <w:name w:val="ListLabel 1369"/>
    <w:qFormat/>
    <w:rPr>
      <w:b/>
      <w:bCs/>
    </w:rPr>
  </w:style>
  <w:style w:type="character" w:styleId="ListLabel1370">
    <w:name w:val="ListLabel 1370"/>
    <w:qFormat/>
    <w:rPr>
      <w:b/>
      <w:bCs/>
    </w:rPr>
  </w:style>
  <w:style w:type="character" w:styleId="ListLabel1371">
    <w:name w:val="ListLabel 1371"/>
    <w:qFormat/>
    <w:rPr>
      <w:rFonts w:cs="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ascii="Arial" w:hAnsi="Arial" w:cs="OpenSymbol"/>
      <w:sz w:val="22"/>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ascii="Arial" w:hAnsi="Arial"/>
      <w:b w:val="false"/>
      <w:sz w:val="22"/>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ascii="Arial" w:hAnsi="Arial"/>
      <w:b w:val="false"/>
      <w:bCs w:val="false"/>
      <w:sz w:val="22"/>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b/>
      <w:bCs/>
    </w:rPr>
  </w:style>
  <w:style w:type="character" w:styleId="ListLabel1408">
    <w:name w:val="ListLabel 1408"/>
    <w:qFormat/>
    <w:rPr>
      <w:rFonts w:cs="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ascii="Arial" w:hAnsi="Arial" w:cs="OpenSymbol"/>
      <w:sz w:val="22"/>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ascii="Arial" w:hAnsi="Arial"/>
      <w:b w:val="false"/>
      <w:sz w:val="22"/>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ascii="Arial" w:hAnsi="Arial"/>
      <w:b w:val="false"/>
      <w:bCs w:val="false"/>
      <w:sz w:val="22"/>
    </w:rPr>
  </w:style>
  <w:style w:type="character" w:styleId="ListLabel1437">
    <w:name w:val="ListLabel 1437"/>
    <w:qFormat/>
    <w:rPr>
      <w:b/>
      <w:bCs/>
    </w:rPr>
  </w:style>
  <w:style w:type="character" w:styleId="ListLabel1438">
    <w:name w:val="ListLabel 1438"/>
    <w:qFormat/>
    <w:rPr>
      <w:b/>
      <w:bCs/>
    </w:rPr>
  </w:style>
  <w:style w:type="character" w:styleId="ListLabel1439">
    <w:name w:val="ListLabel 1439"/>
    <w:qFormat/>
    <w:rPr>
      <w:b/>
      <w:bCs/>
    </w:rPr>
  </w:style>
  <w:style w:type="character" w:styleId="ListLabel1440">
    <w:name w:val="ListLabel 1440"/>
    <w:qFormat/>
    <w:rPr>
      <w:b/>
      <w:bCs/>
    </w:rPr>
  </w:style>
  <w:style w:type="character" w:styleId="ListLabel1441">
    <w:name w:val="ListLabel 1441"/>
    <w:qFormat/>
    <w:rPr>
      <w:b/>
      <w:bCs/>
    </w:rPr>
  </w:style>
  <w:style w:type="character" w:styleId="ListLabel1442">
    <w:name w:val="ListLabel 1442"/>
    <w:qFormat/>
    <w:rPr>
      <w:b/>
      <w:bCs/>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rFonts w:cs="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ascii="Arial" w:hAnsi="Arial" w:cs="OpenSymbol"/>
      <w:sz w:val="22"/>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ascii="Arial" w:hAnsi="Arial"/>
      <w:b w:val="false"/>
      <w:sz w:val="22"/>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ascii="Arial" w:hAnsi="Arial"/>
      <w:b w:val="false"/>
      <w:bCs w:val="false"/>
      <w:sz w:val="22"/>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b/>
      <w:bCs/>
    </w:rPr>
  </w:style>
  <w:style w:type="character" w:styleId="ListLabel1482">
    <w:name w:val="ListLabel 1482"/>
    <w:qFormat/>
    <w:rPr>
      <w:rFonts w:cs="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ascii="Arial" w:hAnsi="Arial" w:cs="OpenSymbol"/>
      <w:sz w:val="22"/>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ascii="Arial" w:hAnsi="Arial"/>
      <w:b w:val="false"/>
      <w:sz w:val="22"/>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ascii="Arial" w:hAnsi="Arial"/>
      <w:b w:val="false"/>
      <w:bCs w:val="false"/>
      <w:sz w:val="22"/>
    </w:rPr>
  </w:style>
  <w:style w:type="character" w:styleId="ListLabel1511">
    <w:name w:val="ListLabel 1511"/>
    <w:qFormat/>
    <w:rPr>
      <w:b/>
      <w:bCs/>
    </w:rPr>
  </w:style>
  <w:style w:type="character" w:styleId="ListLabel1512">
    <w:name w:val="ListLabel 1512"/>
    <w:qFormat/>
    <w:rPr>
      <w:b/>
      <w:bCs/>
    </w:rPr>
  </w:style>
  <w:style w:type="character" w:styleId="ListLabel1513">
    <w:name w:val="ListLabel 1513"/>
    <w:qFormat/>
    <w:rPr>
      <w:b/>
      <w:bCs/>
    </w:rPr>
  </w:style>
  <w:style w:type="character" w:styleId="ListLabel1514">
    <w:name w:val="ListLabel 1514"/>
    <w:qFormat/>
    <w:rPr>
      <w:b/>
      <w:bCs/>
    </w:rPr>
  </w:style>
  <w:style w:type="character" w:styleId="ListLabel1515">
    <w:name w:val="ListLabel 1515"/>
    <w:qFormat/>
    <w:rPr>
      <w:b/>
      <w:bCs/>
    </w:rPr>
  </w:style>
  <w:style w:type="character" w:styleId="ListLabel1516">
    <w:name w:val="ListLabel 1516"/>
    <w:qFormat/>
    <w:rPr>
      <w:b/>
      <w:bCs/>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rFonts w:cs="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ascii="Arial" w:hAnsi="Arial" w:cs="OpenSymbol"/>
      <w:sz w:val="22"/>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ascii="Arial" w:hAnsi="Arial"/>
      <w:b w:val="false"/>
      <w:sz w:val="22"/>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ascii="Arial" w:hAnsi="Arial"/>
      <w:b w:val="false"/>
      <w:bCs w:val="false"/>
      <w:sz w:val="22"/>
    </w:rPr>
  </w:style>
  <w:style w:type="character" w:styleId="ListLabel1548">
    <w:name w:val="ListLabel 1548"/>
    <w:qFormat/>
    <w:rPr>
      <w:b/>
      <w:bCs/>
    </w:rPr>
  </w:style>
  <w:style w:type="character" w:styleId="ListLabel1549">
    <w:name w:val="ListLabel 1549"/>
    <w:qFormat/>
    <w:rPr>
      <w:b/>
      <w:bCs/>
    </w:rPr>
  </w:style>
  <w:style w:type="character" w:styleId="ListLabel1550">
    <w:name w:val="ListLabel 1550"/>
    <w:qFormat/>
    <w:rPr>
      <w:b/>
      <w:bCs/>
    </w:rPr>
  </w:style>
  <w:style w:type="character" w:styleId="ListLabel1551">
    <w:name w:val="ListLabel 1551"/>
    <w:qFormat/>
    <w:rPr>
      <w:b/>
      <w:bCs/>
    </w:rPr>
  </w:style>
  <w:style w:type="character" w:styleId="ListLabel1552">
    <w:name w:val="ListLabel 1552"/>
    <w:qFormat/>
    <w:rPr>
      <w:b/>
      <w:bCs/>
    </w:rPr>
  </w:style>
  <w:style w:type="character" w:styleId="ListLabel1553">
    <w:name w:val="ListLabel 1553"/>
    <w:qFormat/>
    <w:rPr>
      <w:b/>
      <w:bCs/>
    </w:rPr>
  </w:style>
  <w:style w:type="character" w:styleId="ListLabel1554">
    <w:name w:val="ListLabel 1554"/>
    <w:qFormat/>
    <w:rPr>
      <w:b/>
      <w:bCs/>
    </w:rPr>
  </w:style>
  <w:style w:type="character" w:styleId="ListLabel1555">
    <w:name w:val="ListLabel 1555"/>
    <w:qFormat/>
    <w:rPr>
      <w:b/>
      <w:bCs/>
    </w:rPr>
  </w:style>
  <w:style w:type="character" w:styleId="ListLabel1556">
    <w:name w:val="ListLabel 1556"/>
    <w:qFormat/>
    <w:rPr>
      <w:rFonts w:cs="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ascii="Arial" w:hAnsi="Arial" w:cs="OpenSymbol"/>
      <w:sz w:val="22"/>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ascii="Arial" w:hAnsi="Arial"/>
      <w:b w:val="false"/>
      <w:sz w:val="22"/>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ascii="Arial" w:hAnsi="Arial"/>
      <w:b w:val="false"/>
      <w:bCs w:val="false"/>
      <w:sz w:val="22"/>
    </w:rPr>
  </w:style>
  <w:style w:type="character" w:styleId="ListLabel1585">
    <w:name w:val="ListLabel 1585"/>
    <w:qFormat/>
    <w:rPr>
      <w:b/>
      <w:bCs/>
    </w:rPr>
  </w:style>
  <w:style w:type="character" w:styleId="ListLabel1586">
    <w:name w:val="ListLabel 1586"/>
    <w:qFormat/>
    <w:rPr>
      <w:b/>
      <w:bCs/>
    </w:rPr>
  </w:style>
  <w:style w:type="character" w:styleId="ListLabel1587">
    <w:name w:val="ListLabel 1587"/>
    <w:qFormat/>
    <w:rPr>
      <w:b/>
      <w:bCs/>
    </w:rPr>
  </w:style>
  <w:style w:type="character" w:styleId="ListLabel1588">
    <w:name w:val="ListLabel 1588"/>
    <w:qFormat/>
    <w:rPr>
      <w:b/>
      <w:bCs/>
    </w:rPr>
  </w:style>
  <w:style w:type="character" w:styleId="ListLabel1589">
    <w:name w:val="ListLabel 1589"/>
    <w:qFormat/>
    <w:rPr>
      <w:b/>
      <w:bCs/>
    </w:rPr>
  </w:style>
  <w:style w:type="character" w:styleId="ListLabel1590">
    <w:name w:val="ListLabel 1590"/>
    <w:qFormat/>
    <w:rPr>
      <w:b/>
      <w:bCs/>
    </w:rPr>
  </w:style>
  <w:style w:type="character" w:styleId="ListLabel1591">
    <w:name w:val="ListLabel 1591"/>
    <w:qFormat/>
    <w:rPr>
      <w:b/>
      <w:bCs/>
    </w:rPr>
  </w:style>
  <w:style w:type="character" w:styleId="ListLabel1592">
    <w:name w:val="ListLabel 1592"/>
    <w:qFormat/>
    <w:rPr>
      <w:b/>
      <w:bCs/>
    </w:rPr>
  </w:style>
  <w:style w:type="character" w:styleId="ListLabel1593">
    <w:name w:val="ListLabel 1593"/>
    <w:qFormat/>
    <w:rPr>
      <w:rFonts w:cs="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ascii="Arial" w:hAnsi="Arial" w:cs="OpenSymbol"/>
      <w:sz w:val="22"/>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Zawartoramki">
    <w:name w:val="Zawartość ramki"/>
    <w:basedOn w:val="Tretekstu"/>
    <w:qFormat/>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https://miniportal.uzp.gov.pl/" TargetMode="External"/><Relationship Id="rId4" Type="http://schemas.openxmlformats.org/officeDocument/2006/relationships/hyperlink" Target="https://epuap.gov.pl/wps/portal" TargetMode="External"/><Relationship Id="rId5" Type="http://schemas.openxmlformats.org/officeDocument/2006/relationships/hyperlink" Target="mailto:dzp@spzoz.proszowice.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9230</TotalTime>
  <Application>LibreOffice/5.2.1.2$Windows_x86 LibreOffice_project/31dd62db80d4e60af04904455ec9c9219178d620</Application>
  <Pages>22</Pages>
  <Words>4656</Words>
  <Characters>29805</Characters>
  <CharactersWithSpaces>36802</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2018-02-07T09:10:40Z</cp:lastPrinted>
  <dcterms:modified xsi:type="dcterms:W3CDTF">2020-04-22T15:53:43Z</dcterms:modified>
  <cp:revision>528</cp:revision>
  <dc:subject/>
  <dc:title/>
</cp:coreProperties>
</file>