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 Proszowice, dnia 2</w:t>
      </w:r>
      <w:r>
        <w:rPr>
          <w:b w:val="false"/>
          <w:bCs w:val="false"/>
          <w:sz w:val="22"/>
          <w:szCs w:val="22"/>
        </w:rPr>
        <w:t>3</w:t>
      </w:r>
      <w:r>
        <w:rPr>
          <w:b w:val="false"/>
          <w:bCs w:val="false"/>
          <w:sz w:val="22"/>
          <w:szCs w:val="22"/>
        </w:rPr>
        <w:t>.11.2017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Uczestnicy postępowania prowadzonego w trybie przetargu nieograniczonego na</w:t>
      </w:r>
      <w:r>
        <w:rPr>
          <w:rFonts w:eastAsia="Calibri" w:cs="Calibri"/>
          <w:b/>
          <w:bCs/>
          <w:sz w:val="22"/>
          <w:szCs w:val="22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>dostawę do Apteki szpitalnej materiałów szewnych.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Oznaczenie sprawy: 28/ZP/2017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 związku z wniesieniem zapytań przez Wykonawców, Zamawiający przedstawia treść pytań              i udziela pisemnych wyjaśnień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1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rPr/>
      </w:pPr>
      <w:r>
        <w:rPr>
          <w:rFonts w:eastAsia="Times New Roman" w:cs="Arial"/>
          <w:b/>
          <w:bCs/>
          <w:sz w:val="23"/>
          <w:szCs w:val="23"/>
          <w:lang w:eastAsia="ar-SA"/>
        </w:rPr>
        <w:t>Dotyczy Pakietu nr V: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Arial"/>
          <w:b w:val="false"/>
          <w:bCs w:val="false"/>
          <w:sz w:val="23"/>
          <w:szCs w:val="23"/>
          <w:lang w:eastAsia="ar-SA"/>
        </w:rPr>
        <w:t>„</w:t>
      </w:r>
      <w:r>
        <w:rPr>
          <w:rFonts w:eastAsia="Times New Roman" w:cs="Arial"/>
          <w:b w:val="false"/>
          <w:bCs w:val="false"/>
          <w:sz w:val="23"/>
          <w:szCs w:val="23"/>
          <w:lang w:eastAsia="ar-SA"/>
        </w:rPr>
        <w:t>Czy w pozycji nr 1 Zamawiający dopuści siatki przepuklinowe w rozmiarze 6x11, częściowo wchłanialne, monofilamentowe, makroporowate, wykonane z polipropylenu (50%) i PGA (50%), o czasie absorbcji części wchłanialnej 56-70 dni, gramaturze 28g/m2, średniej wielkości porów 3mm, cienkich filamentach ok. 1mm, takie jak używane dotychczas?”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b w:val="false"/>
          <w:bCs w:val="false"/>
        </w:rPr>
        <w:t>Zamawiający dopuszcza.</w:t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2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u w:val="none"/>
        </w:rPr>
      </w:pPr>
      <w:r>
        <w:rPr>
          <w:rFonts w:eastAsia="Times New Roman" w:cs="Arial"/>
          <w:b/>
          <w:bCs/>
          <w:sz w:val="23"/>
          <w:szCs w:val="23"/>
          <w:u w:val="none"/>
          <w:lang w:eastAsia="ar-SA"/>
        </w:rPr>
        <w:t>Dotyczy Pakietu nr V: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„</w:t>
      </w:r>
      <w:r>
        <w:rPr>
          <w:b w:val="false"/>
          <w:bCs w:val="false"/>
        </w:rPr>
        <w:t>Czy w pozycji nr 2 Zamawiający dopuści siatki przepuklinowe w rozmiarze 15x15, częściowo wchłanialne, monofilamentowe, makroporowate, wykonane z polipropylenu (50%) i PGA (50%), o czasie absorbcji części wchłanialnej 56-70 dni, gramaturze 28g/m2, średniej wielkości porów 3mm, cienkich filamentach ok. 1mm, takie jak używane dotychczas?”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/>
        <w:t>Zamawiający dopuszcza.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u w:val="single"/>
          <w:lang w:eastAsia="pl-PL"/>
        </w:rPr>
        <w:t>Pytanie 3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" w:cstheme="minorHAnsi"/>
          <w:b w:val="false"/>
          <w:bCs w:val="false"/>
          <w:sz w:val="24"/>
          <w:szCs w:val="24"/>
        </w:rPr>
        <w:t>„</w:t>
      </w:r>
      <w:r>
        <w:rPr>
          <w:rFonts w:cs="" w:cstheme="minorHAnsi"/>
          <w:b w:val="false"/>
          <w:bCs w:val="false"/>
          <w:sz w:val="24"/>
          <w:szCs w:val="24"/>
        </w:rPr>
        <w:t xml:space="preserve">Czy Zamawiający w Pakiecie I dopuści również równoważny szew, z atraumatycznymi igłami połączonymi ze szwem, wchłanialny, syntetyczny, wykonany z polimeru kwasu glikolowego i mlekowego, połączonych w proporcjach 9:1, pokryty mieszaniną poliglaktyny 370 i stearynianu wapnia (w proporcjach 1:1), o efektywnym udokumentowanym okresie podtrzymywania tkankowego do 35 dni, okresie wchłaniania 56-70 dni, </w:t>
      </w:r>
    </w:p>
    <w:p>
      <w:pPr>
        <w:pStyle w:val="Normal"/>
        <w:rPr>
          <w:rFonts w:cs="" w:cstheme="minorHAnsi"/>
        </w:rPr>
      </w:pPr>
      <w:r>
        <w:rPr>
          <w:rFonts w:cs="" w:cstheme="minorHAnsi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" w:ascii="Times New Roman" w:hAnsi="Times New Roman" w:cstheme="minorHAnsi"/>
          <w:b w:val="false"/>
          <w:bCs w:val="false"/>
          <w:sz w:val="24"/>
          <w:szCs w:val="24"/>
        </w:rPr>
        <w:t>w pozycji 7 z igłą wzmocnioną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b/>
          <w:bCs/>
        </w:rPr>
        <w:t>Odpowiedź: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" w:ascii="Times New Roman" w:hAnsi="Times New Roman" w:cstheme="minorHAnsi"/>
          <w:b w:val="false"/>
          <w:bCs w:val="false"/>
          <w:sz w:val="24"/>
          <w:szCs w:val="24"/>
        </w:rPr>
        <w:t>w pozycji 13 ze szwem 75cm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b/>
          <w:bCs/>
        </w:rPr>
        <w:t>Odpowiedź: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" w:ascii="Times New Roman" w:hAnsi="Times New Roman" w:cstheme="minorHAnsi"/>
          <w:b w:val="false"/>
          <w:bCs w:val="false"/>
          <w:sz w:val="24"/>
          <w:szCs w:val="24"/>
        </w:rPr>
        <w:t>w pozycji 19 ze szwem 70cm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b/>
          <w:bCs/>
        </w:rPr>
        <w:t>Odpowiedź: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" w:ascii="Times New Roman" w:hAnsi="Times New Roman" w:cstheme="minorHAnsi"/>
          <w:b w:val="false"/>
          <w:bCs w:val="false"/>
          <w:sz w:val="24"/>
          <w:szCs w:val="24"/>
        </w:rPr>
        <w:t>w pozycji 20 z igłą wzmocnioną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b/>
          <w:bCs/>
        </w:rPr>
        <w:t>Odpowiedź: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Zamawiający dopuszcza.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" w:ascii="Times New Roman" w:hAnsi="Times New Roman" w:cstheme="minorHAnsi"/>
          <w:b w:val="false"/>
          <w:bCs w:val="false"/>
          <w:sz w:val="24"/>
          <w:szCs w:val="24"/>
        </w:rPr>
        <w:t>w pozycji 23 podwójną igłą i szwem 2/0 ?”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b/>
          <w:bCs/>
        </w:rPr>
        <w:t>Odpowiedź: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Zamawiający nie dopuszcza.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sz w:val="24"/>
          <w:szCs w:val="24"/>
        </w:rPr>
        <w:t>„</w:t>
      </w:r>
      <w:r>
        <w:rPr>
          <w:rFonts w:cs="" w:cstheme="minorHAnsi"/>
          <w:sz w:val="24"/>
          <w:szCs w:val="24"/>
        </w:rPr>
        <w:t>Czy Zamawiający w Pakiecie I dopuści również równoważny szew, z atraumatycznymi igłami połączonymi ze szwem, wchłanialny, syntetyczny, wykonany, jednowłóknowy, polidioksanon, efektywny okres podtrzymywania tkankowego     90 dni, min. 40% po 28 dniach; okres wchłonięcia 182-238 dni,</w:t>
      </w:r>
    </w:p>
    <w:p>
      <w:pPr>
        <w:pStyle w:val="Normal"/>
        <w:rPr>
          <w:rFonts w:cs="" w:cstheme="minorHAnsi"/>
        </w:rPr>
      </w:pPr>
      <w:r>
        <w:rPr>
          <w:rFonts w:cs="" w:cstheme="minorHAnsi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" w:ascii="Times New Roman" w:hAnsi="Times New Roman" w:cstheme="minorHAnsi"/>
          <w:b w:val="false"/>
          <w:bCs w:val="false"/>
          <w:sz w:val="24"/>
          <w:szCs w:val="24"/>
        </w:rPr>
        <w:t>w pozycji 29 z igłą 17 lub 20mm?”</w:t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5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sz w:val="24"/>
          <w:szCs w:val="24"/>
        </w:rPr>
        <w:t>„</w:t>
      </w:r>
      <w:r>
        <w:rPr>
          <w:rFonts w:cs="" w:cstheme="minorHAnsi"/>
          <w:sz w:val="24"/>
          <w:szCs w:val="24"/>
        </w:rPr>
        <w:t>Czy Zamawiający w Pakiecie V dopuści również równoważną makroporowatą, monofilamentową, sterylną siatkę przepuklinową częściowo wchłanialną, kompozyt włókien poliropylenu i włókien poliglekapronu, w wymaganym rozmiarze 6x11cm (w pozycji 1)                  i wymaganym rozmiarze 15x15cm (w pozycji),  czas absorpcji składnika wchłanialnego  80-120 dni, wymaganej gramaturze po wchłonięciu 28g/m2, cienkie filamenty – poniżej 1mm, średnia wielkość porów 3-4mm, wymaganej max. kurczliwości do 2%, siatka                               z wielokierunkową elastycznością oraz odpornością na rozerwanie?”</w:t>
      </w:r>
    </w:p>
    <w:p>
      <w:pPr>
        <w:pStyle w:val="Normal"/>
        <w:rPr>
          <w:rFonts w:cs="" w:asciiTheme="minorHAnsi" w:cstheme="minorHAnsi" w:hAnsiTheme="minorHAnsi"/>
          <w:sz w:val="20"/>
          <w:szCs w:val="20"/>
        </w:rPr>
      </w:pPr>
      <w:r>
        <w:rPr>
          <w:rFonts w:cs="" w:asciiTheme="minorHAnsi" w:cstheme="minorHAnsi" w:hAnsiTheme="minorHAnsi"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6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" w:cstheme="minorHAnsi"/>
          <w:b w:val="false"/>
          <w:bCs w:val="false"/>
          <w:sz w:val="24"/>
          <w:szCs w:val="24"/>
        </w:rPr>
        <w:t>„</w:t>
      </w:r>
      <w:r>
        <w:rPr>
          <w:rFonts w:cs="" w:cstheme="minorHAnsi"/>
          <w:b w:val="false"/>
          <w:bCs w:val="false"/>
          <w:sz w:val="24"/>
          <w:szCs w:val="24"/>
        </w:rPr>
        <w:t>Czy Zamawiający w Pakiecie V wymaga siatkę o elastyczności 4:1 czy 2:1?”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Zgodnie z SIWZ.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>Powyższe wyjaśnienia Zamawiający zamieszcza na stronie internetowej w dniu</w:t>
      </w:r>
      <w:r>
        <w:rPr/>
        <w:t xml:space="preserve"> 23.11.2017 r.-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WW8Num5z0">
    <w:name w:val="WW8Num5z0"/>
    <w:qFormat/>
    <w:rPr>
      <w:b/>
      <w:sz w:val="22"/>
      <w:szCs w:val="22"/>
      <w:lang w:val="pl-PL"/>
    </w:rPr>
  </w:style>
  <w:style w:type="character" w:styleId="WW8Num5z1">
    <w:name w:val="WW8Num5z1"/>
    <w:qFormat/>
    <w:rPr>
      <w:rFonts w:ascii="Symbol" w:hAnsi="Symbol" w:eastAsia="Times New Roman" w:cs="Times New Roman"/>
      <w:b/>
      <w:color w:val="00000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1">
    <w:name w:val="ListLabel 1"/>
    <w:qFormat/>
    <w:rPr>
      <w:b/>
      <w:sz w:val="22"/>
      <w:szCs w:val="22"/>
      <w:lang w:val="pl-P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cs="Symbol"/>
      <w:b w:val="false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cs="Symbol"/>
      <w:b w:val="false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5944</TotalTime>
  <Application>LibreOffice/5.2.1.2$Windows_x86 LibreOffice_project/31dd62db80d4e60af04904455ec9c9219178d620</Application>
  <Pages>2</Pages>
  <Words>448</Words>
  <Characters>2822</Characters>
  <CharactersWithSpaces>3299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2017-11-22T13:35:36Z</cp:lastPrinted>
  <dcterms:modified xsi:type="dcterms:W3CDTF">2017-11-23T12:37:27Z</dcterms:modified>
  <cp:revision>496</cp:revision>
  <dc:subject/>
  <dc:title/>
</cp:coreProperties>
</file>