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Pakiet 1 – parametry techniczne.</w:t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614"/>
        <w:gridCol w:w="6187"/>
        <w:gridCol w:w="2837"/>
      </w:tblGrid>
      <w:tr>
        <w:trPr/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6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Kardiomonitor wyposażony w EKG, ST, Arytmie, Resp, SpO2, NIBP, Temp x 2,  IBP x 2 , CO2, CO,  ICP  – 6 szt. 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highlight w:val="white"/>
              </w:rPr>
              <w:t>oraz centrala monitorująca – 1 szt.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Wypełnia Wykonawca</w:t>
            </w:r>
          </w:p>
        </w:tc>
      </w:tr>
      <w:tr>
        <w:trPr/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Producent – nazwa i kraj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Nazwa i typ/model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Rok produkcji  ( nie wcześniej niż 2018 r.)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Opis przedmiotu zamówienia</w:t>
      </w:r>
    </w:p>
    <w:tbl>
      <w:tblPr>
        <w:tblW w:w="9641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1"/>
        <w:gridCol w:w="4548"/>
        <w:gridCol w:w="2607"/>
        <w:gridCol w:w="1814"/>
      </w:tblGrid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Wypełnia Wykonawca</w:t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TAK/ NIE/ opis</w:t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 zbudowany w oparciu o 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ły pomiarowe przenoszone między monitorami, odłączane i podłączane w sposób zapewniający automatyczną zmianę konfiguracji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ekranu, uwzgl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Rama 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łów pomiarowych w obudowie kardiomonitora (brak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dodatkowych element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stanowiska pomiarowego)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 obudowie monitora min. 2 miejsca na 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ły dodatkowe (CO2, rzut serca) z możliwością podłączenia dodatkowej ramy mieszczącej dodatkowe moduły pomiarowe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Obs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ługa modułów pomiarowych (włączanie i wyłączanie pomiarów poszczególnych parametrów) w wygodnym interfejsie graficznym (z obrazkowym przedstawieniem każdego modułu, akcesorium pomiarowego z informacją o jego umiejscowieniu w monitorze/ramie modułów)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Bez oceny 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żony w ekran kolorowy z możliwością konfiguracji ekranu oraz prezentacji przynajmniej ośmiu krzywych. Przekątna ekranu min. 15” (rozdzielczość min. 1024 x 768) ze sterowaniem dotykowym, zapewniający prezentację monitorowanych param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etr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życiowych pacjenta, interaktywne sterowanie pomiarami (takie jak ustawianie granic alarmowych, uruchamianie pomiarów, wybór sposobu wyświetlania).</w:t>
              <w:br/>
              <w:t>Pod ekranem umieszczone dodatkowe przyciski funkcyjne pozwalające na m. in. wyciszenie alarmu, uruchomie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nie pomiaru NIBP, zamro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żenie krzywych na ekranie.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Oprogramowanie kardiomonitora pozwala na ustawienie (w zale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żności od aktualnych potrzeb) różnych konfiguracji ekranu, różniących się rozmieszczeniem i wielkością elementów.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ść zaprogramowania minimum następujących konfiguracji: ekran dużych liczb (podzielony na cztery elementy), ekran podstawowych parametrów życiowych, ekran trendów obok krzywych, ekran OxyCRG oraz ekran 12 odprowadzeń EKG.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ądzenie musi posiadać możliwość uruchomienia trybu nocnego (wygaszony ekran, podświetlenia klawiszy, obniżona głośność alarmu, brak sygnału pulsu).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Oprogramowanie kardiomonitora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żone w kalkulatory medyczne: (min. obliczenia wentylacji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, hemodynamiczne, utlenowania, lekowe, nerkowe).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żliwość rozbudowy kardiomonitora o oprogramowanie analizujące 12 odprowadzeń EKG, pozwalające na automatyczną analizę z diagnostycznym podsumowaniem.</w:t>
            </w:r>
          </w:p>
          <w:p>
            <w:pPr>
              <w:pStyle w:val="Normal"/>
              <w:rPr>
                <w:rFonts w:ascii="Times New Roman" w:hAnsi="Times New Roman" w:eastAsia="Helvetica" w:cs="Helvetica"/>
                <w:color w:val="000000"/>
                <w:lang w:eastAsia="pl-PL"/>
              </w:rPr>
            </w:pPr>
            <w:r>
              <w:rPr>
                <w:rFonts w:eastAsia="Helvetica" w:cs="Helvetica" w:ascii="Times New Roman" w:hAnsi="Times New Roman"/>
                <w:color w:val="000000"/>
                <w:lang w:eastAsia="pl-PL"/>
              </w:rPr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łącze USB pozwalające na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pod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łączenie klawiatury, myszy, lub pamięci USB w celu przenoszenia konfiguracji.</w:t>
              <w:br/>
              <w:t>W urządzeniu gniazdo kart pamięci (SD) do przenoszenia danych z monitorowania pacjenta.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Trendy tabelaryczne i graficzne z ostatnich min. 96 godzin monitorowania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 z funkcj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 oceny stanu pacjenta łączącą parametry odczytane przez czujniki pomiarowe (MEWS)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Zasilanie awaryjne zapewniaj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ące monitorowanie min.: EKG, SpO2, Oddech, NIBP,  IBP, Temp, przez co najmniej 120 min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ut w przypadku zaniku zasilania w sieci elektrycznej, z automatycznym prze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łączeniem się na zasilanie awaryjne.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System cichego, konwekcyjnego ch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łodzenia bez użycia wewnętrznych wentylatorów.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Alarmy 3-stopniowe (wizualne i akustyczne) wszystkich parametr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z klasyfikacją priorytetu alarmu, z możliwością zawieszenia czasowego.</w:t>
              <w:br/>
              <w:br/>
              <w:t>Rejestracja zdarzeń alarmowych.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Wizualne wska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źniki alarmowe dla alarmów fizjologicznych oraz technicznyc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h rozr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óżniane kolorystycznie oraz rozdzielone fizycznie (w osobnych obudowach) dla łatwiejszej identyfikacji.</w:t>
              <w:br/>
              <w:br/>
              <w:t>Wizualny wskaźnik wyciszenia alarmów jako osobny element na obudowie monitora.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 dostosowany do pracy w systemie centralnego monitorowania,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żony w kartę sieciową do połączenia ze stacją centralnego monitorowania.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żliwość rozbudowy monitora o moduł Wi-Fi, zapewniający bezprzewodową komunikację z centralą pielęgniarską.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żony w moduł transportowy, pozwalający na ciągłe, nieprzerwane (pełna ciągłość danych z monitorowania na stanowisku stacjonarnym oraz w transporcie) monitorowanie co najmniej EKG (x5), SpO2, NIBP, Temp (x2) podczas transportu pacjenta. </w:t>
              <w:br/>
              <w:t>Przyg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otowanie pacjenta do transportu nie wymaga pod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łączania i/lub odłączania przewodów łączących monitor z pacjentem.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żliwość zastosowania opcjonalnego modułu pozwalającego na pomiar CO2 w transporcie, który pozwala na kontynuację (nieprzerwaną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prac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ę) pomiarów podczas pracy na stanowisku monitorowania, w transporcie i w momencie odłączania/podłączania modułu transportowego.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Masa 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 transportowego poniżej 1,5 kg (z akumulatorem), zasilanie bateryjne na minimum 4 godziny pracy.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 transportowy wyposażony w ekran dotykowy o przekątnej min. 5” (z dedykowanymi przyciskami do m. in. wyciszenia alarmu oraz startu pomiaru NIBP, umieszczonymi poza ekranem)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 transportowy wyposażony w uchwyt do przenosze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nia (bez konieczno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ści odłączania go w przypadku podłączania modułu do ekranu głównego kardiomonitora).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Uchwyt zamocowany na sta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łe: 10pkt</w:t>
              <w:br/>
              <w:t>Uchwyt odłączany: 0pkt.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ł transportowy z własnym ekranem, przystosowany do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transportu wewn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ątrzszpitalnego oraz poza-szpitalnego, odporny na zachlapania (min. IPX3), pozwalający na komunikację bezprzewodową ze stacją centralną.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min. IPX4 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– 10pkt</w:t>
              <w:br/>
              <w:br/>
              <w:t>IPX3 – 0pkt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 transportowy odporny na upadki z wysokości powyżej 1m,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– 10 pkt</w:t>
              <w:br/>
              <w:t>NIE – 0pkt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 transportowy wyposażony w złącze USB pozwalający na podłączenie klawiatury, myszy lub pamięci USB w celu przeniesienia danych monitorowania pacjenta do komputera PC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 transportowy z zaimplementowa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 funkcją oceny stanu pacjenta łączącą parametry odczytane przez czujniki pomiarowe (MEWS)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– 10 pkt</w:t>
              <w:br/>
              <w:t>NIE – 0pkt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żliwość podłączenia ekranu powielającego do kardiomonitora.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Dost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ępne złącza analogowe i cyfrowe umożliwiające podłączenie dwóch ekranów różnych typów.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Pomiar EKG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Pomiar EKG. Monitorowania przy pomocy minimum 3 elektrod. 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żliwość monitorowania 3,7,12 odprowadzeń EKG - wyświetlanie do 12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odprowadze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ń jednocześnie przy zastosowaniu odpowiedniego kabla pomiarowego.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Detekcja sygna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 stymulatora serca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Monitorowanie cz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ęstości oddechu metodą impedancyjną (wartości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cyfrowe i krzywa), z 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żliwością dokonania przez użytkownika ręcznej zmiany elektrod odniesienia jeżeli rozmieszczenie elektrod tego wymaga.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Pomiar saturacji i t</w:t>
            </w:r>
            <w:r>
              <w:rPr>
                <w:rFonts w:eastAsia="Helvetica" w:cs="Helvetica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ętna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Pomiar wysycenia hemoglobiny tlenem w zakresie min. 0-100% i rozdzielczo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ścią 1%.</w:t>
              <w:br/>
              <w:t>Algorytm pomiarowy odporny na niską perfuzję, wstrząsy i artefakty ruchowe.</w:t>
              <w:br/>
              <w:t>Wyświetlane wartości cyfrowe saturacji i tętna oraz krzywa pletyzmograficzna.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Pomiar ci</w:t>
            </w:r>
            <w:r>
              <w:rPr>
                <w:rFonts w:eastAsia="Helvetica" w:cs="Helvetica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śnienia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Ci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śnienie tętnicze krwi metodą nieinwazyjną, tryb pracy ręczny i automatyczny z programowaniem odstępów między pomiarami min. od 1 minuty do 480 minut.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TAK, d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łuższy czas – 5pkt</w:t>
              <w:br/>
              <w:t>TAK, do 480 minut – 0 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Zakres pomiaru ci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śnienia w mankiecie min.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10-270mmHg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Inwazyjne monitorowanie ci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śnienia krwi IBP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:</w:t>
              <w:br/>
              <w:t>- w minimum 2 kana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łach tętnicze i OCŻ.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Pomiar temperatury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Monitorowanie temperatury w minimum dw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óch torach pomiarowych w zakresie min. od  10 do 50 stopni C</w:t>
              <w:br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pomiar temperatury obwodowej (powierzchniowej) i centralnej (wewn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ętrznej).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wy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świetlanie temperatury T1, T2 i różnicy temperatur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ł pomiaru kapnografii:</w:t>
              <w:br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Monitorowanie EtCO2, FiCO2, AwRR  w technologii strumienia bocznego,</w:t>
              <w:br/>
              <w:t>Pomiar EtCO2 w zakresie min. 0-150mmHg,</w:t>
              <w:br/>
              <w:t>Pomiar AwRR w zakresie min. od 2 odd./min do 150 odd./min,</w:t>
              <w:br/>
              <w:t>Mo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 xml:space="preserve">żliwość regulacji czasu próbkowania, </w:t>
              <w:br/>
              <w:t>Regulowany czas zwłoki alarmu bezdechu w zakresie min. 10-40s.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Modu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ł kompatybilny z ww. kardiomonitorami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  w postaci kostki wsuwanej do ramy urz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 xml:space="preserve">ądzenia,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realizuj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ący pomiar ciśnienia wewnątrzczaszkowego (ICP)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. Przycisk zerowania przetwornika oraz przycisk wywo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łania menu parametru na ekranie monitora, dostępne na obudowie modułu. Moduł z możliwością przenoszeni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 pomi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ędzy monitorami (1 moduł na wszystkie kardiomonitory).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żliwość rozbudowy monitora o moduł pomiaru rzutu serca metodą termodylucji (C.O.)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br/>
              <w:t>Mierzone parametry min. CO, TB, TI</w:t>
              <w:br/>
              <w:t xml:space="preserve">Zakres pomiaru CO min. 0,1 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– 20l/min</w:t>
              <w:br/>
              <w:t>Zakres pomiaru temperat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ury krwi min. 23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°C - 40°C</w:t>
              <w:br/>
              <w:t>W zestawie:</w:t>
              <w:br/>
              <w:t>- Kabel do pomiaru rzutu serca</w:t>
              <w:br/>
              <w:t>- Sonda pomiaru temperatury (iniektatu do cewnika BD)</w:t>
              <w:br/>
              <w:t>- Obudowa sondy temperatury</w:t>
              <w:br/>
              <w:t>- Strzykawka kontrolna do iniektatu wyposażona w okrągłe uchwyty na palce (przy cylindrze i tłoku) pozwal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aj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ące na lepszą kontrolę przepływu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żliwość rozbudowy monitora o moduł pomiaru rzutu serca metodą kardio-impedancji (ICG)</w:t>
              <w:br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Mierzone parametry min. SV, HR, CO.</w:t>
              <w:br/>
              <w:t>Zakres pomiaru CO min. 0,1-30 l/min</w:t>
              <w:br/>
              <w:t>Zakres pomiaru HR min. 50-250 bpm z dok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ładnośc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i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ą min. ±2bpm</w:t>
              <w:br/>
              <w:t>W zestawie:</w:t>
              <w:br/>
              <w:t>- Kabel do pomiaru rzutu serca</w:t>
              <w:br/>
              <w:t>- Elektrody ICG 2 opakowania (po 4 pary elektrod)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żliwość rozbudowy monitora o moduł pomiaru stężenia gazów anestetycznych realizujący pomiar w strumieniu bocznym.</w:t>
              <w:br/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Mierzone parametry i gazy min. HAL, ENV, ISO, SEV, DES, N20, CO2, O2 (opcja), MAC, AwRR</w:t>
              <w:br/>
              <w:t>Technologia odprowadzania wilgoci poprzez zastosowanie pu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łapki wodnej ze złączem Luer-Lock</w:t>
              <w:br/>
              <w:t>Możliwość pomiaru stężenia O2 metodą paramagnetyczną (opcja)</w:t>
              <w:br/>
              <w:t>W zestawie pułap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ka wodna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Elementy wyposa</w:t>
            </w:r>
            <w:r>
              <w:rPr>
                <w:rFonts w:eastAsia="Helvetica" w:cs="Helvetica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żenia każdego monitora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* kabel EKG do monitorowania 3 lub 5 odprowadze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ń (1szt.), w zestawie startowym min. 10 elektrod EKG.</w:t>
              <w:br/>
              <w:t>* wielorazowy czujnik na palec dla dorosłych typu klips wyposażony w harmonijko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we, zintegrowane z oboma cz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ęściami klipsa osłony przed dostępem światła z zewnątrz, zakłócającego pomiar w miejscach nasłonecznionych (1szt.)</w:t>
              <w:br/>
              <w:t>* wielorazowy czujnik na palec dla dorosłych, wykonany z silikonu (1szt.)</w:t>
              <w:br/>
              <w:t>* przewód ciśnieniowy oraz mankiety ciśn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ieniowe (3 szt. w rozmiarach okre</w:t>
            </w:r>
            <w:r>
              <w:rPr>
                <w:rFonts w:eastAsia="Helvetica" w:cs="Helvetica" w:ascii="Times New Roman" w:hAnsi="Times New Roman"/>
                <w:sz w:val="18"/>
                <w:szCs w:val="18"/>
                <w:lang w:eastAsia="pl-PL"/>
              </w:rPr>
              <w:t>ślonych przez użytkownika)</w:t>
              <w:br/>
              <w:t>* sonda do pomiaru temp. powierzchniowej dla dorosłych (1szt.)</w:t>
              <w:br/>
              <w:t>* kabel IBP (1 szt.)</w:t>
              <w:br/>
              <w:t>* Uchwyt ścienny lub stojak jezdny (do wyboru przez użytkownika) (1 szt.)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l-PL"/>
              </w:rPr>
              <w:t>CENTRALA PIEL</w:t>
            </w:r>
            <w:r>
              <w:rPr>
                <w:rFonts w:eastAsia="Helvetica" w:cs="Helvetica" w:ascii="Times New Roman" w:hAnsi="Times New Roman"/>
                <w:b/>
                <w:bCs/>
                <w:sz w:val="18"/>
                <w:szCs w:val="18"/>
                <w:lang w:eastAsia="pl-PL"/>
              </w:rPr>
              <w:t>ĘGNIARSKA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monitoruj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ąca wyposażona w ekran LCD o przekątnej przynajmniej 22”, ze zintegrowanymi elementami składowymi w jednej obudowie (jednostka CPU w obudowie ekranu monitora centrali)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Obs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ługa centrali za pomocą klawiatury i myszy komputerowej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Obs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ługa za pomocą ekranu dotykowego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pozwalaj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ąca na rozbudowę o obsługę kolejnych stanowisk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(do 64) bez dodatkowych koszt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wynikających z konieczności zakupu licencji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Prezentacja graficzna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Wy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świetlanie okien z przebiegami dynamicznymi i parametrami jednocześnie do 32 pacjentów w oknie podglądu zbiorczego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Wy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żliwość wyświetlania wartości parametrów przy użyciu dużych czcionek dla wszystkich lub wybranych monitorów w oknie zbiorczego podglądu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3-stopniowy system alarmów sygnalizowanych wizualnie i dźwięk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owo z identyfikacj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 łóżka, na którym wystąpił alarm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</w:t>
            </w:r>
            <w:r>
              <w:rPr>
                <w:rFonts w:eastAsia="Helvetica" w:cs="Helvetica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ółpraca z monitorami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ą zdalnej konfiguracji granic alarmowych w monitorze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ą zdalnej konfiguracji ustawień pomiaru NIBP –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mo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żliwość regulacji przynajmniej odstępu pomiędzy pomiarami ciśnienia w trybie automatycznym i uruchomienia pomiaru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Wprowadzanie danych pacjenta oraz granic alarmowych r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ęcznie z poziomu centrali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Pami</w:t>
            </w:r>
            <w:r>
              <w:rPr>
                <w:rFonts w:eastAsia="Helvetica" w:cs="Helvetica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ęć centrali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pamięć trendów graficznych i tabelarycznych wszystkich parametrów wszystkich monitorowanych pacjentów z ostatnich 10 dni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pamięć pełnych zapisów wybranych krzywych dynamicznych z ostatnich 72 godzin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pamięć min. 120 zdarzeń alarmowych na każdego pacjenta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&gt; 500 zdarze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ń - 10pkt</w:t>
              <w:br/>
              <w:t>120-500 – 0pkt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funkcje obliczania dawek leków i tabelę rozcieńczeń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Nieulotna pami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ęć historycznych danych monitorowania dostępna do momentu ręcznego usunięcia bazy danych.</w:t>
              <w:br/>
              <w:t>Powierzchnia dyskowa pozwalająca na zarchiwizowanie danych minimum 20 000 pacjentów.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20 000 – 29 999 pacjent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– 0pkt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≥30 000 pacjent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– 10pkt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Funkcja oblicze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ń natlenienia, obliczeń nerkowych i wentylacji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Raporty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Drukowanie raport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na drukarce laserowej formatu A4 i w postaci plików w formacie PDF:</w:t>
              <w:br/>
              <w:t>- krzywych dynamicznych Full Disclosure,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zapami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ętanych zdarzeń alarmowych (z odcinkami krzywych dynamicznych), </w:t>
              <w:br/>
              <w:t>- tabeli alarmów,</w:t>
              <w:br/>
              <w:t>- trendów graficznych,</w:t>
              <w:br/>
              <w:t xml:space="preserve">- trendów tabelarycznych, </w:t>
              <w:br/>
              <w:t>- przeglądu NIBP,</w:t>
              <w:br/>
              <w:t>- obliczeń dawkowania leków i tabeli rozcieńczeń,</w:t>
              <w:br/>
              <w:t>- informacji o pacjencie.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żona w funkcję przygotowania statystyki monitorowania pacjenta pozwalającą na przedstawienie danych w formie graficznej i tabelarycznej.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Statystyki monitorowania obejmuj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 xml:space="preserve">ą min. prezentację wystąpienia poszczególnych arytmii (ilość),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przekroczenia prog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– 10 pkt</w:t>
              <w:br/>
              <w:t>NIE – 0 pk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 wyposa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żeniu laserowa drukarka sieciowa w formacie A4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Centrala przygotowana do integracji z systemem HIS bez dodatkowych koszt</w:t>
            </w:r>
            <w:r>
              <w:rPr>
                <w:rFonts w:eastAsia="Helvetica" w:cs="Helvetica" w:ascii="Times New Roman" w:hAnsi="Times New Roman"/>
                <w:color w:val="000000"/>
                <w:sz w:val="18"/>
                <w:szCs w:val="18"/>
                <w:lang w:eastAsia="pl-PL"/>
              </w:rPr>
              <w:t>ów (po stronie urządzenia).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" w:ascii="Times New Roman" w:hAnsi="Times New Roman" w:cstheme="minorHAnsi"/>
                <w:b/>
                <w:bCs/>
                <w:sz w:val="18"/>
                <w:szCs w:val="18"/>
                <w:lang w:eastAsia="pl-PL"/>
              </w:rPr>
              <w:t>MONITOR DO RZUTU SERCA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shd w:val="clear" w:color="auto" w:fill="FFFFFF"/>
              <w:ind w:right="72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Ocena hemodynamiczna układu krążenia metodą małoinwazyjną rozumianą jako:</w:t>
            </w:r>
          </w:p>
          <w:p>
            <w:pPr>
              <w:pStyle w:val="Normal"/>
              <w:shd w:val="clear" w:color="auto" w:fill="FFFFFF"/>
              <w:ind w:right="72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-bez użycia cewnika Swan-Ganza,</w:t>
            </w:r>
          </w:p>
          <w:p>
            <w:pPr>
              <w:pStyle w:val="Normal"/>
              <w:shd w:val="clear" w:color="auto" w:fill="FFFFFF"/>
              <w:ind w:right="72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- pomiar parametrów hemodynamicznych z jednego dostępu naczyniowego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- oraz met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odą: małoinwazyjną: drogą kaniulacji obwodowego naczynia tętniczego i żyły głównej górnej,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" w:cstheme="minorHAnsi"/>
              </w:rPr>
            </w:pPr>
            <w:r>
              <w:rPr>
                <w:rFonts w:cs="" w:cstheme="minorHAnsi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pomiar możliwy u pacjentów zaintubowanych i nie zaintubowanych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Analiza kształtu fali ciśnienia tętniczego do ciągłego (w czasie rzeczywistym) oznaczania ciśnienia krwi, trendu rzutu serca, reakcji hemodynamicznych na podanie płynów i innych parametrów pochodnych z wykorzystaniem jednego dostępu naczyniowego.</w:t>
              <w:br/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Mierzone parametry:</w:t>
              <w:br/>
            </w: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CO trend – trend rzutu serca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, SV - objętość wyrzutowa, SVV - wahania objętości wyrzutowej, PPV - wahania ciśnienia tętniczego, SVR - systemowy opór naczyniowy, CPO - moc pojemności minutowej,  dPmx - kurczliwość lewej komory, </w:t>
              <w:br/>
              <w:t xml:space="preserve">HR częstość akcji serca, APsys Ciśnienie skurczowe, APdia Ciśnienie rozkurczowe, MAP średnie ciśnienie tętnicze, </w:t>
              <w:br/>
              <w:t>CVP ciśnienie żylne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Dla uzyskania maksymalnie dokładnego pomiaru ciągłego rzutu serca urządzenie posiadające dwie opcje kalibracji: </w:t>
              <w:br/>
              <w:t>- automatyczną rozumianą jako wygenerowanie szacunkowej wartości kalibracji na podstawie ciśnienia krwi oraz danych pacjenta,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- ręczną rozumianą jako w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pisanie w polu wprowadzania danych wartości referencyjnej CO, otrzymanej za pomocą innej technologii monitorowania hemodynamicznego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Moduł ciągłego pomiaru rzutu serca z analizy kształtu fali ciśnienia tętniczego kalibrowany metodą termodylucji przezpłucnej, drogą kaniulacji obwodowego naczynia tętniczego i żyły głównej górnej.</w:t>
              <w:br/>
              <w:t>Mierzone parametry: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</w:rPr>
              <w:t>Rzut minutowy z analizy konturu fali tętna CO</w:t>
            </w: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</w:rPr>
              <w:t xml:space="preserve"> (CI</w:t>
            </w: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</w:rPr>
              <w:t>),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Ciśnienie tętnicze krwi skurczowe Apsys,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Ciśnienie tętnicze krwi rozkurczowe Apdia,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Ciśnienie tętnicze krwi średnie MAP,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Częstość skurczów serca HR,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Ośrodkowe ciśnienie żylne CVP,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Objętość wyrzutowa SV (SVI),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Samoistne wahania objętości wyrzutowej SVV,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Samoistne wahania ciśnienia tętna PPV,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Obwodowy opór naczyniowy SVR (SVRI),</w:t>
            </w:r>
          </w:p>
          <w:p>
            <w:pPr>
              <w:pStyle w:val="Annotationtext"/>
              <w:numPr>
                <w:ilvl w:val="0"/>
                <w:numId w:val="3"/>
              </w:numPr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cstheme="minorHAnsi"/>
                <w:sz w:val="18"/>
                <w:szCs w:val="18"/>
              </w:rPr>
              <w:t>Wskaźnik kurczliwości lewej komory dPmax,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color w:val="00000A"/>
                <w:sz w:val="18"/>
                <w:szCs w:val="18"/>
                <w:lang w:val="pl-PL"/>
              </w:rPr>
              <w:t>Rzut minutowy z termodylucji przezpłucnej tdCO (tdCI)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</w:rPr>
              <w:t xml:space="preserve">Wskaźnik funkcji serca CFI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  <w:lang w:val="pl-PL"/>
              </w:rPr>
              <w:t>Całkowita objętość końcowo-rozkurczowa GEDV, (GEDI)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  <w:lang w:val="pl-PL"/>
              </w:rPr>
              <w:t>Objętość pozanaczyniowej wody płucnej EVLW, (ELWI)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  <w:lang w:val="pl-PL"/>
              </w:rPr>
              <w:t>Wskaźnik przepuszczalności naczyń płucnych PVPI,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</w:rPr>
              <w:t>Całkowita frakcja wyrzutowa GEF,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color w:val="00000A"/>
                <w:sz w:val="18"/>
                <w:szCs w:val="18"/>
              </w:rPr>
              <w:t>Moc użyteczna serca CP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2880" w:hanging="0"/>
              <w:contextualSpacing/>
              <w:rPr>
                <w:rFonts w:cs="" w:asciiTheme="minorHAnsi" w:cstheme="minorHAnsi" w:hAnsiTheme="minorHAnsi"/>
                <w:color w:val="00000A"/>
              </w:rPr>
            </w:pPr>
            <w:r>
              <w:rPr>
                <w:rFonts w:cs="" w:asciiTheme="minorHAnsi" w:cstheme="minorHAnsi" w:hAnsiTheme="minorHAnsi"/>
                <w:color w:val="00000A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</w:rPr>
              <w:t>Objętość krwi krążącej w klatce piersiowej ITBV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bottom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Urządzenie umożliwiające rozszerzenia o moduł ciągłego (w czasie rzeczywistym) pomiaru saturacji krwi żylnej z żyły głównej górnej za pomocą refleksyjnego czujnika światłowodowego zakładanego do istniejącego cewnika CVC. 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Mierzone parametry ScvO2 - saturacja krwi żylnej z żyły głównej górnej, DO2 – dostarczenie tlenu, VO2 – konsumpcja tlenu, O2ER -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współczynnik ekstrakcji tlenu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Urządzenie umożliwiające rozbudowę o pomiar densytometryczny tętna do określania stężenia zieleni indocyjaninowej, wskaźnika stosowanego do oceny ogólnej czynności wątroby i/lub perfuzji otrzewnej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Dane pomiarowe wyświetlane na min. 8” ekranie o wysokiej rozdzielczości – min. 800 x 480 pixel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Wyświetlanie rzeczywistej krzywej ciśnienia tętniczego (AP) Wyświetlanie wartości liczbowych częstości akcji serca, ciśnienia tętniczego skurczowego i rozkurczowego. Wartość średnia ciśnienia tętniczego wyświetlana w nawiasie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Obsługa monitora poprzez ekran dotykowy, klawisze funkcyjne, oprogramowanie w języku polskim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Wybór sposobu prezentacji danych pomiarowych: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Ekran krzywej ciśnienia w czasie rzeczywistym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, stałe wyświetlanie krzywej ciśnienia tętniczego zawierające znacznik skurczowego ciśnienia tętniczego. Możliwość jednoczesnego, ciągłego wyświetlania krzywej ośrodkowego ciśnienia żylnego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Ekran pola parametrów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 – wyświetlanie do dziewięciu parametrów w trzech polach parametrów. Pod parametrem wyświetlany czas jaki upłynął od ostatniego pomiaru metoda termodylucji lub od ostatniej kalibracji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.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Wyświetlanie wartości pomiarów, a także granic alarmów. Możliwość dowolnej zamiany wszystkich wyświetlanych parametrów indeksowanych na bezwzględne i z bezwzględnych na indeksowane.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 xml:space="preserve">Ekran przeglądu parametrów z systemem sygnalizacji świetlnej,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Przedstawienie bieżących wartości wszystkich mierzonych parametrów, orientacja ikon żółtych i czerwonych wskazuje, czy wartość parametru jest powyżej czy poniżej zakresu normalnego.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Ekran SpiderVision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 dynamiczne przedstawianie wszystkich parametrów ciągłych, dowolny wybór od 3 do siedmiu ilości ramion pająka oraz wyświetlanych parametrów, d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iagram wyświetlany w kolorze zielonym do czasu, aż wyświetlane parametry pozostają w zakresie wartości normalnych lub docelowych, diagram wyświetlany w kolorze żółtym, gdy jeden z wyświetlanych parametrów wykracza poza zakres wartości normalnych lub docelowych, diagram wyświetlany w kolorze czerwonym, gdy dwa lub więcej z wyświetlanych parametrów wykracza poza zakres wartości normalnych lub docelowych. Obszary jaśniejsze podkreślają normalne lub docelowe wartości dla danego parametru.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z w:val="18"/>
                <w:szCs w:val="18"/>
              </w:rPr>
              <w:t>Ekran profile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 wyświetlanie mierzonych parametry w zależności od ich pozycji względem podświetlonego normalnego / docelowego zakresu wartości.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z w:val="18"/>
                <w:szCs w:val="18"/>
              </w:rPr>
              <w:t xml:space="preserve">Ekran trendy graficzne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m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ożliwość w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yświetlania dwóch krzywych trendu w jednym oknie trendu. 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Z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akres czasowy trendu 15 min/30 min/1 godz./3 godz./6 godz./12 godz./24 godz./2 dni/3 dni/6dni/12 dni. Możliwość dowolnej konfiguracji parametrów wyświetlanych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 xml:space="preserve">Ekran pomocy,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 xml:space="preserve">- informacja o podłączeniu,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opisane kable i podłączenia cewnika między pacjentem i monitorem oraz jego modułami, dla każdej technologii pomiaru wyświetlony widok połączeń.</w:t>
            </w: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br/>
              <w:t xml:space="preserve">- informacja o parametrach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szczegółowe informacje tekstowe dotyczące wszystkich mierzonych parametrów z uwzględnieniem grup parametrów: wydajność, obciążenie wstępne, obciążenie następcze, kurczliwość, funkcja organów,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- model fizjologiczny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 xml:space="preserve"> przegląd ogólny  parametrów, ich zależności i relacji, jak również możliwych opcji leczenia.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/>
                <w:spacing w:val="-9"/>
                <w:sz w:val="18"/>
                <w:szCs w:val="18"/>
              </w:rPr>
              <w:t>- model decyzyjny,</w:t>
            </w: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zawiera informacje o różnych algorytmach leczenia ukierunkowanego na cel, które opisano dla praktyki klinicznej i opublikowano w literaturze medycznej.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DdeLink__1487_1711018757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Drukowania danych poprzez  </w:t>
              <w:br/>
              <w:t xml:space="preserve">-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wirtualne drukowanie z portu USB</w:t>
            </w:r>
          </w:p>
          <w:p>
            <w:pPr>
              <w:pStyle w:val="Normal"/>
              <w:shd w:val="clear" w:color="auto" w:fill="FFFFFF"/>
              <w:ind w:right="72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 Unicode MS" w:cs="" w:ascii="Times New Roman" w:hAnsi="Times New Roman" w:cstheme="minorHAnsi"/>
                <w:sz w:val="18"/>
                <w:szCs w:val="18"/>
              </w:rPr>
              <w:t xml:space="preserve">-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drukowanie poprzez sieć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</w:rPr>
              <w:t>- drukowanie lokalne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Możliwość ustawienia wartości normalnych i docelowych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bCs/>
                <w:sz w:val="18"/>
                <w:szCs w:val="18"/>
              </w:rPr>
              <w:t>Możliwości transmisji danych z wykorzystaniem LAN</w:t>
            </w:r>
            <w:r>
              <w:rPr>
                <w:rFonts w:cs="" w:ascii="Times New Roman" w:hAnsi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HAnsi"/>
                <w:sz w:val="18"/>
                <w:szCs w:val="18"/>
              </w:rPr>
              <w:t>do podłączania sieciowych drukarek i urządzeń przesyłania danych.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 xml:space="preserve">Czujnik do pomiaru rzutu serca z analizy kształtu fali ciśnienia tętniczego kompatybilny ze stosowanym na oddziale przetwornikiem do pomiaru inwazyjnego ciśnienia tętniczego krwi 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pacing w:val="-9"/>
                <w:sz w:val="18"/>
                <w:szCs w:val="18"/>
              </w:rPr>
              <w:t>Kompatybilne cewniki tętnicze do pomiaru termodylucji przezpłucnej , posiadające prowadnicę wykonaną z nitinolu, umożliwiające pomiar z dostępu: tętnica udowa dorośli, tętnica promieniowa dorośli, tętnica łokciowa dorośli, tętnica ramienna ok. łokciowa dorośli, tętnica ramienna proksymalnie dorośli, tętnica pachowa dorośli, tętnica udowa dzieci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Waga urządzenia nie więcej niż 3 kg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Ramię do mocowania monitora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Dopuszczenie do obrotu na terenie Polski, certyfikat CE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Książka gwarancyjna w języku polskim.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" w:ascii="Times New Roman" w:hAnsi="Times New Roman" w:cstheme="minorHAnsi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Instalacja, montaż i szkolenie personelu obsługującego urządzenie - w cenie oferty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Serwic na terenie Polski (podać adres)</w:t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680" w:top="1661" w:footer="0" w:bottom="90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1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1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1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1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1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rFonts w:ascii="Times New Roman" w:hAnsi="Times New Roman" w:eastAsia="Times New Roman" w:cs="Times New Roman"/>
      <w:color w:val="00000A"/>
      <w:sz w:val="20"/>
      <w:szCs w:val="20"/>
      <w:lang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LibreOffice/5.2.1.2$Windows_x86 LibreOffice_project/31dd62db80d4e60af04904455ec9c9219178d620</Application>
  <Pages>8</Pages>
  <Words>2857</Words>
  <Characters>18454</Characters>
  <CharactersWithSpaces>21114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2018-04-23T08:02:05Z</dcterms:created>
  <dc:creator/>
  <dc:description/>
  <dc:language>pl-PL</dc:language>
  <cp:lastModifiedBy/>
  <dcterms:modified xsi:type="dcterms:W3CDTF">2018-04-27T08:21:20Z</dcterms:modified>
  <cp:revision>20</cp:revision>
  <dc:subject/>
  <dc:title/>
</cp:coreProperties>
</file>