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05/ZP/2018</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do magazynu apteki szpitalnej materiałów opatrunkowych, produktów leczniczych i wyrobów medycznych. </w:t>
      </w:r>
    </w:p>
    <w:p>
      <w:pPr>
        <w:pStyle w:val="Normal"/>
        <w:jc w:val="center"/>
        <w:rPr/>
      </w:pPr>
      <w:r>
        <w:rPr>
          <w:rFonts w:cs="Arial" w:ascii="Arial" w:hAnsi="Arial"/>
          <w:b/>
          <w:sz w:val="28"/>
          <w:szCs w:val="28"/>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Luty 2018 r.</w:t>
      </w:r>
    </w:p>
    <w:p>
      <w:pPr>
        <w:pStyle w:val="Normal"/>
        <w:jc w:val="both"/>
        <w:rPr>
          <w:rFonts w:ascii="Arial" w:hAnsi="Arial" w:cs="Arial"/>
          <w:b/>
          <w:b/>
          <w:sz w:val="22"/>
          <w:szCs w:val="22"/>
        </w:rPr>
      </w:pPr>
      <w:r>
        <w:rPr>
          <w:rFonts w:cs="Arial" w:ascii="Arial" w:hAnsi="Arial"/>
          <w:b/>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do magazynu apteki szpitalnej materiałów opatrunkowych produktów leczniczych i wyrobów medycznych </w:t>
      </w:r>
      <w:r>
        <w:rPr>
          <w:rFonts w:cs="Arial" w:ascii="Arial" w:hAnsi="Arial"/>
          <w:sz w:val="22"/>
          <w:szCs w:val="22"/>
        </w:rPr>
        <w:t xml:space="preserve">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został podzielony na osiem części -  pakiet  od  I  do VIII.</w:t>
      </w:r>
    </w:p>
    <w:p>
      <w:pPr>
        <w:pStyle w:val="Normal"/>
        <w:jc w:val="both"/>
        <w:rPr>
          <w:rFonts w:ascii="Arial" w:hAnsi="Arial" w:cs="Arial"/>
          <w:sz w:val="22"/>
          <w:szCs w:val="22"/>
        </w:rPr>
      </w:pPr>
      <w:r>
        <w:rPr>
          <w:rFonts w:cs="Arial" w:ascii="Arial" w:hAnsi="Arial"/>
          <w:sz w:val="22"/>
          <w:szCs w:val="22"/>
        </w:rPr>
        <w:t>Zamawiający dopuszcza składanie ofert częściowych. Ofertę można składać do wszystkich części.</w:t>
      </w:r>
    </w:p>
    <w:p>
      <w:pPr>
        <w:pStyle w:val="Normal"/>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33.14.11.10 - 4</w:t>
      </w:r>
    </w:p>
    <w:p>
      <w:pPr>
        <w:pStyle w:val="Normal"/>
        <w:jc w:val="both"/>
        <w:rPr/>
      </w:pPr>
      <w:r>
        <w:rPr>
          <w:rFonts w:ascii="Arial" w:hAnsi="Arial"/>
          <w:b w:val="false"/>
          <w:bCs w:val="false"/>
          <w:sz w:val="22"/>
          <w:szCs w:val="22"/>
        </w:rPr>
        <w:t>33.69.00.00 - 3</w:t>
      </w:r>
    </w:p>
    <w:p>
      <w:pPr>
        <w:pStyle w:val="Normal"/>
        <w:jc w:val="both"/>
        <w:rPr/>
      </w:pPr>
      <w:r>
        <w:rPr>
          <w:rFonts w:ascii="Arial" w:hAnsi="Arial"/>
          <w:b w:val="false"/>
          <w:bCs w:val="false"/>
          <w:sz w:val="22"/>
          <w:szCs w:val="22"/>
        </w:rPr>
        <w:t xml:space="preserve">33.14.00.00 - 3   </w:t>
      </w:r>
    </w:p>
    <w:p>
      <w:pPr>
        <w:pStyle w:val="Normal"/>
        <w:jc w:val="both"/>
        <w:rPr>
          <w:rFonts w:ascii="Arial" w:hAnsi="Arial" w:cs="Arial"/>
          <w:sz w:val="22"/>
          <w:szCs w:val="22"/>
          <w:highlight w:val="white"/>
          <w:u w:val="single"/>
        </w:rPr>
      </w:pPr>
      <w:r>
        <w:rPr>
          <w:rFonts w:cs="Arial" w:ascii="Arial" w:hAnsi="Arial"/>
          <w:sz w:val="22"/>
          <w:szCs w:val="22"/>
          <w:highlight w:val="white"/>
          <w:u w:val="singl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W razie wątpliwości co do zgodności zaoferowanych wyrobów medycznych z zapisami SIWZ, Zamawiający zastrzega sobie możliwość wezwania Wykonawców do złożenia próbek zaoferowanego przedmiotu zamówienia.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Tekstpodstawowy31"/>
        <w:widowControl w:val="false"/>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Dostawy sukcesywnie  w ciągu 12</w:t>
      </w:r>
      <w:r>
        <w:rPr>
          <w:rFonts w:cs="Arial" w:ascii="Arial" w:hAnsi="Arial"/>
          <w:b w:val="false"/>
          <w:bCs w:val="false"/>
          <w:i w:val="false"/>
          <w:iCs w:val="false"/>
          <w:sz w:val="22"/>
          <w:szCs w:val="22"/>
          <w:u w:val="none"/>
        </w:rPr>
        <w:t xml:space="preserve"> miesięcy - Pakiet I – V, w ciągu 5 miesięcy – Pakiet VI i VIII, w ciągu 8 miesięcy – Pakiet VII </w:t>
      </w:r>
      <w:r>
        <w:rPr>
          <w:rFonts w:cs="Arial" w:ascii="Arial" w:hAnsi="Arial"/>
          <w:sz w:val="22"/>
          <w:szCs w:val="22"/>
        </w:rPr>
        <w:t xml:space="preserve">od daty podpisania umowy wg pisemnych zamówień składanych przez Kierownika Apteki Szpitalnej lub jego zastępcę. </w:t>
      </w:r>
    </w:p>
    <w:p>
      <w:pPr>
        <w:pStyle w:val="Normal"/>
        <w:jc w:val="both"/>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przedmiotu zamówienia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zamówienia faksem.</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sz w:val="22"/>
          <w:szCs w:val="22"/>
        </w:rPr>
      </w:pPr>
      <w:r>
        <w:rPr>
          <w:rFonts w:ascii="Arial" w:hAnsi="Arial"/>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oferujący produkty lecznicze musi wykazać,</w:t>
      </w:r>
      <w:r>
        <w:rPr>
          <w:rFonts w:eastAsia="Arial;Arial" w:cs="Times New Roman"/>
          <w:b w:val="false"/>
          <w:bCs w:val="false"/>
          <w:strike w:val="false"/>
          <w:dstrike w:val="false"/>
          <w:color w:val="000000"/>
          <w:sz w:val="22"/>
          <w:szCs w:val="22"/>
          <w:highlight w:val="white"/>
          <w:u w:val="none"/>
        </w:rPr>
        <w:t xml:space="preserve"> </w:t>
      </w:r>
      <w:r>
        <w:rPr>
          <w:rFonts w:eastAsia="Arial;Arial" w:cs="Times New Roman" w:ascii="Arial" w:hAnsi="Arial"/>
          <w:b w:val="false"/>
          <w:bCs w:val="false"/>
          <w:strike w:val="false"/>
          <w:dstrike w:val="false"/>
          <w:color w:val="000000"/>
          <w:sz w:val="22"/>
          <w:szCs w:val="22"/>
          <w:highlight w:val="white"/>
          <w:u w:val="none"/>
        </w:rPr>
        <w:t xml:space="preserve">że  posiada  uprawnienia  do obrotu   produktami leczniczymi.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Wykonawca spełni powyższy warunek składając oświadczenie.</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highlight w:val="white"/>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rFonts w:ascii="Arial" w:hAnsi="Arial"/>
          <w:sz w:val="22"/>
          <w:szCs w:val="22"/>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i w:val="false"/>
          <w:iCs/>
          <w:caps w:val="false"/>
          <w:smallCaps w:val="false"/>
          <w:color w:val="000000"/>
          <w:spacing w:val="0"/>
          <w:sz w:val="22"/>
          <w:szCs w:val="22"/>
        </w:rPr>
        <w:t xml:space="preserve">1)  </w:t>
      </w:r>
      <w:r>
        <w:rPr>
          <w:rFonts w:cs="Times New Roman" w:ascii="Arial" w:hAnsi="Arial"/>
          <w:b w:val="false"/>
          <w:bCs w:val="false"/>
          <w:i w:val="false"/>
          <w:iCs/>
          <w:caps w:val="false"/>
          <w:smallCaps w:val="false"/>
          <w:color w:val="000000"/>
          <w:spacing w:val="0"/>
          <w:sz w:val="22"/>
          <w:szCs w:val="22"/>
        </w:rPr>
        <w:t xml:space="preserve">Zezwolenie na obrót produktami leczniczymi ( odpowiedni dokument): </w:t>
      </w:r>
    </w:p>
    <w:p>
      <w:pPr>
        <w:pStyle w:val="Normal"/>
        <w:shd w:val="clear" w:fill="FFFFFF"/>
        <w:spacing w:before="120" w:after="0"/>
        <w:jc w:val="both"/>
        <w:rPr>
          <w:rFonts w:ascii="Arial" w:hAnsi="Arial" w:cs="Times New Roman"/>
          <w:b w:val="false"/>
          <w:b w:val="false"/>
          <w:bCs w:val="false"/>
          <w:sz w:val="22"/>
          <w:szCs w:val="22"/>
        </w:rPr>
      </w:pPr>
      <w:r>
        <w:rPr>
          <w:rFonts w:cs="Times New Roman" w:ascii="Arial" w:hAnsi="Arial"/>
          <w:b w:val="false"/>
          <w:bCs w:val="false"/>
          <w:sz w:val="22"/>
          <w:szCs w:val="22"/>
        </w:rPr>
        <w:t>- ważne zezwolenie Głównego Inspektora Farmaceutycznego (GIF) lub inny dokument                    w zakresie prowadzenia hurtowni farmaceutycznej, a w przypadku składania oferty na leki psychotropowe i odurzające odpowiednio wymagane zezwolenie;</w:t>
      </w:r>
    </w:p>
    <w:p>
      <w:pPr>
        <w:pStyle w:val="Normal"/>
        <w:shd w:val="clear" w:fill="FFFFFF"/>
        <w:spacing w:before="120" w:after="0"/>
        <w:jc w:val="both"/>
        <w:rPr>
          <w:rFonts w:ascii="Arial" w:hAnsi="Arial" w:cs="Times New Roman"/>
          <w:b w:val="false"/>
          <w:b w:val="false"/>
          <w:bCs w:val="false"/>
          <w:sz w:val="22"/>
          <w:szCs w:val="22"/>
        </w:rPr>
      </w:pPr>
      <w:r>
        <w:rPr>
          <w:rFonts w:cs="Times New Roman" w:ascii="Arial" w:hAnsi="Arial"/>
          <w:b w:val="false"/>
          <w:bCs w:val="false"/>
          <w:sz w:val="22"/>
          <w:szCs w:val="22"/>
        </w:rPr>
        <w:t>- ważne zezwolenie Głównego Inspektora Farmaceutycznego (GIF) lub inny dokument na wytwarzanie produktów leczniczych jeżeli Wykonawca jest wytwórcą;</w:t>
      </w:r>
    </w:p>
    <w:p>
      <w:pPr>
        <w:pStyle w:val="Normal"/>
        <w:shd w:val="clear" w:fill="FFFFFF"/>
        <w:spacing w:before="120" w:after="0"/>
        <w:ind w:left="0" w:right="0" w:hanging="0"/>
        <w:jc w:val="both"/>
        <w:rPr/>
      </w:pPr>
      <w:r>
        <w:rPr>
          <w:rFonts w:cs="Times New Roman" w:ascii="Arial" w:hAnsi="Arial"/>
          <w:b w:val="false"/>
          <w:bCs w:val="false"/>
          <w:i w:val="false"/>
          <w:iCs/>
          <w:caps w:val="false"/>
          <w:smallCaps w:val="false"/>
          <w:color w:val="000000"/>
          <w:spacing w:val="0"/>
          <w:sz w:val="22"/>
          <w:szCs w:val="22"/>
        </w:rPr>
        <w:t>-  zezwolenie na prowadzenie składu konsygnacyjnego zawierające uprawnienie przyznane przez Głównego Inspektora Farmaceutycznego lub inny dokument w zakresie obrotu produktami leczniczymi w przypadku Wykonawcy prowadzącego skład konsygnacyjny.</w:t>
      </w:r>
    </w:p>
    <w:p>
      <w:pPr>
        <w:pStyle w:val="Normal"/>
        <w:shd w:val="clear" w:fill="FFFFFF"/>
        <w:spacing w:before="120" w:after="0"/>
        <w:ind w:left="0" w:right="0" w:hanging="0"/>
        <w:jc w:val="both"/>
        <w:rPr>
          <w:rFonts w:ascii="Arial" w:hAnsi="Arial" w:cs="Times New Roman"/>
          <w:b w:val="false"/>
          <w:b w:val="false"/>
          <w:bCs w:val="false"/>
          <w:i w:val="false"/>
          <w:i w:val="false"/>
          <w:iCs/>
          <w:caps w:val="false"/>
          <w:smallCaps w:val="false"/>
          <w:color w:val="000000"/>
          <w:spacing w:val="0"/>
          <w:sz w:val="22"/>
          <w:szCs w:val="22"/>
        </w:rPr>
      </w:pPr>
      <w:r>
        <w:rPr>
          <w:rFonts w:cs="Times New Roman" w:ascii="Arial" w:hAnsi="Arial"/>
          <w:b w:val="false"/>
          <w:bCs w:val="false"/>
          <w:i w:val="false"/>
          <w:iCs/>
          <w:caps w:val="false"/>
          <w:smallCaps w:val="false"/>
          <w:color w:val="000000"/>
          <w:spacing w:val="0"/>
          <w:sz w:val="22"/>
          <w:szCs w:val="22"/>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Wyroby medyczne:</w:t>
      </w:r>
    </w:p>
    <w:p>
      <w:pPr>
        <w:pStyle w:val="Normal"/>
        <w:numPr>
          <w:ilvl w:val="0"/>
          <w:numId w:val="8"/>
        </w:numPr>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Deklarację zgodności producenta ( dotyczy każdej pozycji Wyrobu medycznego)</w:t>
      </w:r>
    </w:p>
    <w:p>
      <w:pPr>
        <w:pStyle w:val="Normal"/>
        <w:numPr>
          <w:ilvl w:val="0"/>
          <w:numId w:val="8"/>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8"/>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Oświadczenie   Wykonawcy,  o  wprowadzeniu  przedmiotu  zamówienia  do  obrotu i stosowania zgodnie z art. 58 ustawy o Wyrobach Medycznych z dnia 20 maja 2010r. (Dz. U. </w:t>
      </w:r>
      <w:r>
        <w:rPr>
          <w:rFonts w:eastAsia="Arial CE" w:cs="Arial" w:ascii="Arial" w:hAnsi="Arial"/>
          <w:b w:val="false"/>
          <w:bCs w:val="false"/>
          <w:i w:val="false"/>
          <w:iCs w:val="false"/>
          <w:strike w:val="false"/>
          <w:dstrike w:val="false"/>
          <w:outline w:val="false"/>
          <w:shadow w:val="false"/>
          <w:color w:val="000000"/>
          <w:sz w:val="22"/>
          <w:szCs w:val="22"/>
          <w:u w:val="none"/>
          <w:em w:val="none"/>
        </w:rPr>
        <w:t>z 2017 r. poz.211</w:t>
      </w: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 </w:t>
      </w: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tj., że oferowane wyroby medyczne posiadają: </w:t>
      </w:r>
    </w:p>
    <w:p>
      <w:pPr>
        <w:pStyle w:val="Normal"/>
        <w:numPr>
          <w:ilvl w:val="0"/>
          <w:numId w:val="0"/>
        </w:numPr>
        <w:ind w:left="720" w:hanging="0"/>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 </w:t>
      </w: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zgłoszenie/powiadomienie/wniosek  do Prezesa Urzędu Rejestracji Produktów Leczniczych, Wyrobów Medycznych i Produktów Biobójczych </w:t>
      </w: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 - ( dotyczy wyrobów medycznych.)  </w:t>
      </w:r>
    </w:p>
    <w:p>
      <w:pPr>
        <w:pStyle w:val="Normal"/>
        <w:numPr>
          <w:ilvl w:val="0"/>
          <w:numId w:val="8"/>
        </w:numPr>
        <w:jc w:val="both"/>
        <w:rPr>
          <w:highlight w:val="white"/>
        </w:rPr>
      </w:pPr>
      <w:r>
        <w:rPr>
          <w:rFonts w:eastAsia="RotisSansSerif" w:cs="RotisSansSerif" w:ascii="Arial" w:hAnsi="Arial"/>
          <w:color w:val="000000"/>
          <w:sz w:val="22"/>
          <w:szCs w:val="22"/>
          <w:highlight w:val="white"/>
        </w:rPr>
        <w:t>Katalogi producenta zawierające pełną informację o</w:t>
      </w:r>
      <w:r>
        <w:rPr>
          <w:rFonts w:eastAsia="RotisSansSerif" w:cs="RotisSansSerif" w:ascii="Arial" w:hAnsi="Arial"/>
          <w:color w:val="000000"/>
          <w:sz w:val="22"/>
          <w:szCs w:val="22"/>
          <w:highlight w:val="white"/>
        </w:rPr>
        <w:t xml:space="preserve"> </w:t>
      </w:r>
      <w:r>
        <w:rPr>
          <w:rFonts w:eastAsia="RotisSansSerif" w:cs="RotisSansSerif" w:ascii="Arial" w:hAnsi="Arial"/>
          <w:color w:val="000000"/>
          <w:sz w:val="22"/>
          <w:szCs w:val="22"/>
          <w:highlight w:val="white"/>
        </w:rPr>
        <w:t xml:space="preserve">parametrach oferowanego wyrobu </w:t>
      </w:r>
      <w:r>
        <w:rPr>
          <w:rFonts w:eastAsia="RotisSansSerif" w:cs="RotisSansSerif" w:ascii="Arial" w:hAnsi="Arial"/>
          <w:color w:val="000000"/>
          <w:sz w:val="22"/>
          <w:szCs w:val="22"/>
          <w:highlight w:val="white"/>
        </w:rPr>
        <w:t>w języku polskim - ( dotyczy wyrobów medycznych).</w:t>
      </w:r>
    </w:p>
    <w:p>
      <w:pPr>
        <w:pStyle w:val="Normal"/>
        <w:numPr>
          <w:ilvl w:val="0"/>
          <w:numId w:val="0"/>
        </w:numPr>
        <w:ind w:left="720" w:hanging="0"/>
        <w:jc w:val="both"/>
        <w:rPr>
          <w:rFonts w:ascii="Arial" w:hAnsi="Arial" w:eastAsia="Arial" w:cs="Arial"/>
          <w:b w:val="false"/>
          <w:b w:val="false"/>
          <w:bCs w:val="false"/>
          <w:color w:val="000000"/>
          <w:sz w:val="22"/>
          <w:szCs w:val="22"/>
          <w:highlight w:val="white"/>
        </w:rPr>
      </w:pPr>
      <w:r>
        <w:rPr>
          <w:rFonts w:eastAsia="Arial" w:cs="Arial" w:ascii="Arial" w:hAnsi="Arial"/>
          <w:b w:val="false"/>
          <w:bCs w:val="false"/>
          <w:color w:val="000000"/>
          <w:sz w:val="22"/>
          <w:szCs w:val="22"/>
          <w:highlight w:val="white"/>
        </w:rPr>
      </w:r>
    </w:p>
    <w:p>
      <w:pPr>
        <w:pStyle w:val="Normal"/>
        <w:rPr/>
      </w:pPr>
      <w:r>
        <w:rPr>
          <w:rFonts w:eastAsia="Arial" w:cs="Arial" w:ascii="Arial" w:hAnsi="Arial"/>
          <w:b w:val="false"/>
          <w:bCs w:val="false"/>
          <w:color w:val="000000"/>
          <w:sz w:val="22"/>
          <w:szCs w:val="22"/>
          <w:highlight w:val="white"/>
        </w:rPr>
        <w:t>Produkty lecznicze:</w:t>
      </w:r>
    </w:p>
    <w:p>
      <w:pPr>
        <w:pStyle w:val="Normal"/>
        <w:rPr/>
      </w:pPr>
      <w:r>
        <w:rPr>
          <w:rFonts w:eastAsia="Arial" w:cs="Arial" w:ascii="Arial" w:hAnsi="Arial"/>
          <w:b w:val="false"/>
          <w:bCs w:val="false"/>
          <w:color w:val="000000"/>
          <w:sz w:val="22"/>
          <w:szCs w:val="22"/>
          <w:highlight w:val="white"/>
        </w:rPr>
        <w:t xml:space="preserve">Oświadczenie Wykonawcy o posiadaniu dokumentów dopuszczających oferowane  produkty lecznicze do obrotu na terenie RP, zgodnie z ustawą z 06.09.2001 r. Prawo farmaceutyczne (Dz. U. </w:t>
      </w:r>
      <w:r>
        <w:rPr>
          <w:rFonts w:eastAsia="Arial" w:cs="Arial" w:ascii="Arial" w:hAnsi="Arial"/>
          <w:b w:val="false"/>
          <w:bCs w:val="false"/>
          <w:color w:val="000000"/>
          <w:sz w:val="22"/>
          <w:szCs w:val="22"/>
          <w:highlight w:val="white"/>
        </w:rPr>
        <w:t>2017 r. poz. 2211</w:t>
      </w:r>
      <w:r>
        <w:rPr>
          <w:rFonts w:eastAsia="Arial" w:cs="Arial" w:ascii="Arial" w:hAnsi="Arial"/>
          <w:b w:val="false"/>
          <w:bCs w:val="false"/>
          <w:color w:val="000000"/>
          <w:sz w:val="22"/>
          <w:szCs w:val="22"/>
          <w:highlight w:val="white"/>
        </w:rPr>
        <w:t xml:space="preserve"> z późniejszymi zmianami)</w:t>
      </w:r>
    </w:p>
    <w:p>
      <w:pPr>
        <w:pStyle w:val="Normal"/>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widowControl/>
        <w:numPr>
          <w:ilvl w:val="0"/>
          <w:numId w:val="0"/>
        </w:numPr>
        <w:shd w:val="clear" w:fill="FFFFFF"/>
        <w:overflowPunct w:val="false"/>
        <w:bidi w:val="0"/>
        <w:spacing w:before="120" w:after="0"/>
        <w:ind w:left="0" w:right="0" w:hanging="0"/>
        <w:jc w:val="both"/>
        <w:rPr/>
      </w:pPr>
      <w:r>
        <w:rPr/>
      </w:r>
    </w:p>
    <w:p>
      <w:pPr>
        <w:pStyle w:val="ListParagraph"/>
        <w:widowControl w:val="false"/>
        <w:numPr>
          <w:ilvl w:val="0"/>
          <w:numId w:val="7"/>
        </w:numPr>
        <w:jc w:val="both"/>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7"/>
        </w:numPr>
        <w:jc w:val="both"/>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7"/>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7"/>
        </w:numPr>
        <w:jc w:val="both"/>
        <w:rPr/>
      </w:pPr>
      <w:r>
        <w:rPr>
          <w:rFonts w:ascii="Arial" w:hAnsi="Arial"/>
          <w:sz w:val="22"/>
          <w:szCs w:val="22"/>
        </w:rPr>
        <w:t>Oświadczenie, o którym mowa w ust. 1, składane jest w oryginale. Oświadczenie sporządzone w języku obcym jest składane wraz z tłumaczeniem na język polski.</w:t>
      </w:r>
    </w:p>
    <w:p>
      <w:pPr>
        <w:pStyle w:val="ListParagraph"/>
        <w:widowControl w:val="false"/>
        <w:numPr>
          <w:ilvl w:val="0"/>
          <w:numId w:val="7"/>
        </w:numPr>
        <w:jc w:val="both"/>
        <w:rPr/>
      </w:pPr>
      <w:r>
        <w:rPr>
          <w:rFonts w:ascii="Arial" w:hAnsi="Arial"/>
          <w:b/>
          <w:bCs/>
          <w:sz w:val="22"/>
          <w:szCs w:val="22"/>
        </w:rPr>
        <w:t>Jeżeli w postępowaniu zostanie złożona jedna oferta, Wykonawca, który ją złożył, nie przekazuje Zamawiającemu oświadczenia, o którym mowa w ust. 1</w:t>
      </w:r>
      <w:r>
        <w:rPr>
          <w:rFonts w:ascii="Arial" w:hAnsi="Arial"/>
          <w:sz w:val="22"/>
          <w:szCs w:val="22"/>
        </w:rPr>
        <w:t>.</w:t>
      </w:r>
    </w:p>
    <w:p>
      <w:pPr>
        <w:pStyle w:val="Normal"/>
        <w:widowControl/>
        <w:numPr>
          <w:ilvl w:val="0"/>
          <w:numId w:val="7"/>
        </w:numPr>
        <w:shd w:val="clear" w:fill="FFFFFF"/>
        <w:overflowPunct w:val="true"/>
        <w:bidi w:val="0"/>
        <w:spacing w:before="120" w:after="0"/>
        <w:ind w:left="737" w:right="0" w:hanging="340"/>
        <w:jc w:val="both"/>
        <w:rPr/>
      </w:pPr>
      <w:r>
        <w:rPr>
          <w:rFonts w:ascii="Arial" w:hAnsi="Arial"/>
          <w:b w:val="false"/>
          <w:bCs w:val="false"/>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9"/>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 z późniejszymi zmianami).</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9"/>
        </w:numPr>
        <w:jc w:val="both"/>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widowControl w:val="false"/>
        <w:numPr>
          <w:ilvl w:val="0"/>
          <w:numId w:val="0"/>
        </w:numPr>
        <w:ind w:left="720" w:hanging="0"/>
        <w:jc w:val="both"/>
        <w:rPr>
          <w:rFonts w:ascii="Arial" w:hAnsi="Arial"/>
          <w:sz w:val="22"/>
          <w:szCs w:val="22"/>
        </w:rPr>
      </w:pPr>
      <w:r>
        <w:rPr>
          <w:rFonts w:ascii="Arial" w:hAnsi="Arial"/>
          <w:sz w:val="22"/>
          <w:szCs w:val="22"/>
        </w:rPr>
      </w:r>
    </w:p>
    <w:p>
      <w:pPr>
        <w:pStyle w:val="Normal"/>
        <w:numPr>
          <w:ilvl w:val="0"/>
          <w:numId w:val="9"/>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05/ZP/2018”.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9"/>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9"/>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pPr>
      <w:r>
        <w:rPr>
          <w:rFonts w:cs="Arial" w:ascii="Arial" w:hAnsi="Arial"/>
          <w:b/>
          <w:sz w:val="22"/>
          <w:szCs w:val="22"/>
          <w:highlight w:val="white"/>
        </w:rPr>
        <w:t>OPIS SPOSOBU PRZYGOTOWANIA OFERTY</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numPr>
          <w:ilvl w:val="0"/>
          <w:numId w:val="0"/>
        </w:numPr>
        <w:ind w:left="454"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w:t>
      </w:r>
    </w:p>
    <w:p>
      <w:pPr>
        <w:pStyle w:val="Normal"/>
        <w:numPr>
          <w:ilvl w:val="0"/>
          <w:numId w:val="4"/>
        </w:numPr>
        <w:jc w:val="both"/>
        <w:rPr>
          <w:rFonts w:ascii="Arial" w:hAnsi="Arial" w:cs="Arial"/>
          <w:sz w:val="22"/>
          <w:szCs w:val="22"/>
        </w:rPr>
      </w:pPr>
      <w:r>
        <w:rPr>
          <w:rFonts w:cs="Arial" w:ascii="Arial" w:hAnsi="Arial"/>
          <w:sz w:val="22"/>
          <w:szCs w:val="22"/>
        </w:rPr>
        <w:t xml:space="preserve">Cena oferty z formularza cenowego ( Załącznik Nr 2 do SIWZ)  powinna być wpisana do </w:t>
      </w:r>
      <w:r>
        <w:rPr>
          <w:rFonts w:cs="Arial" w:ascii="Arial" w:hAnsi="Arial"/>
          <w:b w:val="false"/>
          <w:bCs w:val="false"/>
          <w:i w:val="false"/>
          <w:iCs w:val="false"/>
          <w:sz w:val="22"/>
          <w:szCs w:val="22"/>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05/ZP/2018</w:t>
      </w:r>
    </w:p>
    <w:p>
      <w:pPr>
        <w:pStyle w:val="BodyText2"/>
        <w:ind w:left="397" w:right="0" w:hanging="0"/>
        <w:jc w:val="left"/>
        <w:rPr/>
      </w:pPr>
      <w:r>
        <w:rPr>
          <w:rFonts w:cs="Arial" w:ascii="Arial" w:hAnsi="Arial"/>
          <w:sz w:val="22"/>
          <w:szCs w:val="22"/>
          <w:u w:val="single"/>
        </w:rPr>
        <w:t>Dostawa materiałów opatrunkowych/</w:t>
      </w:r>
      <w:r>
        <w:rPr>
          <w:rFonts w:cs="Arial" w:ascii="Arial" w:hAnsi="Arial"/>
          <w:b/>
          <w:sz w:val="22"/>
          <w:szCs w:val="22"/>
          <w:u w:val="single"/>
        </w:rPr>
        <w:t>produktów leczniczych/wyrobów medycznych .</w:t>
      </w:r>
      <w:r>
        <w:rPr>
          <w:rFonts w:cs="Arial" w:ascii="Arial" w:hAnsi="Arial"/>
          <w:sz w:val="22"/>
          <w:szCs w:val="22"/>
          <w:highlight w:val="yellow"/>
        </w:rPr>
        <w:br/>
      </w:r>
    </w:p>
    <w:p>
      <w:pPr>
        <w:pStyle w:val="BodyText2"/>
        <w:ind w:left="397" w:right="0" w:hanging="0"/>
        <w:jc w:val="left"/>
        <w:rPr/>
      </w:pPr>
      <w:r>
        <w:rPr>
          <w:rFonts w:cs="Arial" w:ascii="Arial" w:hAnsi="Arial"/>
          <w:sz w:val="22"/>
          <w:szCs w:val="22"/>
          <w:highlight w:val="white"/>
        </w:rPr>
        <w:t>OFERT</w:t>
      </w:r>
      <w:r>
        <w:rPr>
          <w:rFonts w:cs="Arial" w:ascii="Arial" w:hAnsi="Arial"/>
          <w:sz w:val="22"/>
          <w:szCs w:val="22"/>
        </w:rPr>
        <w:t>A -</w:t>
      </w:r>
      <w:r>
        <w:rPr>
          <w:rFonts w:cs="Arial" w:ascii="Arial" w:hAnsi="Arial"/>
          <w:color w:val="00000A"/>
          <w:sz w:val="22"/>
          <w:szCs w:val="22"/>
        </w:rPr>
        <w:t xml:space="preserve">  22.02.2018 r., godz. 12:00. </w:t>
      </w:r>
    </w:p>
    <w:p>
      <w:pPr>
        <w:pStyle w:val="Normal"/>
        <w:ind w:left="397" w:right="0" w:hanging="0"/>
        <w:jc w:val="both"/>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 xml:space="preserve"> 22.02.2018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22.02.2018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pPr>
      <w:r>
        <w:rPr>
          <w:rFonts w:cs="Arial" w:ascii="Arial" w:hAnsi="Arial"/>
          <w:sz w:val="22"/>
          <w:szCs w:val="22"/>
        </w:rPr>
        <w:t>Wartość netto + wartość podatku VAT = wartość brutto.</w:t>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pPr>
      <w:r>
        <w:rPr>
          <w:rFonts w:ascii="Arial" w:hAnsi="Arial"/>
          <w:b/>
          <w:bCs/>
          <w:color w:val="00000A"/>
          <w:sz w:val="22"/>
          <w:szCs w:val="22"/>
        </w:rPr>
        <w:t>|CENA                                                                                             | 100 %  |</w:t>
      </w:r>
    </w:p>
    <w:p>
      <w:pPr>
        <w:pStyle w:val="Normal"/>
        <w:jc w:val="both"/>
        <w:rPr/>
      </w:pPr>
      <w:r>
        <w:rPr>
          <w:rFonts w:ascii="Arial" w:hAnsi="Arial"/>
          <w:b/>
          <w:bCs/>
          <w:color w:val="00000A"/>
          <w:sz w:val="22"/>
          <w:szCs w:val="22"/>
        </w:rPr>
        <w:t>---------------------------------------------------------------------------------------------------</w:t>
      </w:r>
    </w:p>
    <w:p>
      <w:pPr>
        <w:pStyle w:val="Normal"/>
        <w:jc w:val="both"/>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b/>
          <w:b/>
          <w:bCs/>
          <w:sz w:val="22"/>
          <w:szCs w:val="22"/>
          <w:u w:val="single"/>
        </w:rPr>
      </w:pPr>
      <w:r>
        <w:rPr>
          <w:rFonts w:ascii="Arial" w:hAnsi="Arial"/>
          <w:b/>
          <w:bCs/>
          <w:sz w:val="22"/>
          <w:szCs w:val="22"/>
          <w:u w:val="single"/>
        </w:rPr>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100] x 100 %</w:t>
      </w:r>
    </w:p>
    <w:p>
      <w:pPr>
        <w:pStyle w:val="Normal"/>
        <w:jc w:val="left"/>
        <w:rPr>
          <w:rFonts w:ascii="Arial" w:hAnsi="Arial"/>
          <w:sz w:val="22"/>
          <w:szCs w:val="22"/>
        </w:rPr>
      </w:pPr>
      <w:r>
        <w:rPr>
          <w:rFonts w:ascii="Arial" w:hAnsi="Arial"/>
          <w:sz w:val="22"/>
          <w:szCs w:val="22"/>
        </w:rPr>
      </w:r>
    </w:p>
    <w:p>
      <w:pPr>
        <w:pStyle w:val="Normal"/>
        <w:jc w:val="left"/>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r>
    </w:p>
    <w:p>
      <w:pPr>
        <w:pStyle w:val="Normal"/>
        <w:jc w:val="left"/>
        <w:rPr/>
      </w:pPr>
      <w:r>
        <w:rPr>
          <w:rFonts w:ascii="Arial" w:hAnsi="Arial"/>
          <w:sz w:val="22"/>
          <w:szCs w:val="22"/>
        </w:rPr>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pPr>
      <w:r>
        <w:rPr>
          <w:rFonts w:ascii="Arial" w:hAnsi="Arial"/>
          <w:sz w:val="22"/>
          <w:szCs w:val="22"/>
        </w:rPr>
        <w:t>100– maksymalna liczba punktów</w:t>
      </w:r>
    </w:p>
    <w:p>
      <w:pPr>
        <w:pStyle w:val="Normal"/>
        <w:jc w:val="both"/>
        <w:rPr>
          <w:rFonts w:ascii="Arial" w:hAnsi="Arial"/>
          <w:sz w:val="22"/>
          <w:szCs w:val="22"/>
        </w:rPr>
      </w:pPr>
      <w:r>
        <w:rPr>
          <w:rFonts w:ascii="Arial" w:hAnsi="Arial"/>
          <w:sz w:val="22"/>
          <w:szCs w:val="22"/>
        </w:rPr>
        <w:t>100%  - waga kryterium CENA</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ne do przygotowania umowy, zgodnie ze wzorem umowy (Załącznik 4/4a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highlight w:val="white"/>
        </w:rPr>
      </w:pPr>
      <w:r>
        <w:rPr>
          <w:rFonts w:cs="Arial" w:ascii="Arial" w:hAnsi="Arial"/>
          <w:sz w:val="22"/>
          <w:szCs w:val="22"/>
          <w:highlight w:val="white"/>
        </w:rPr>
        <w:t>Wzór umowy zawarty jest w Załączniku 4/4a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6"/>
        </w:numPr>
        <w:jc w:val="both"/>
        <w:rPr/>
      </w:pPr>
      <w:r>
        <w:rPr>
          <w:rFonts w:ascii="Arial" w:hAnsi="Arial"/>
          <w:sz w:val="22"/>
          <w:szCs w:val="22"/>
        </w:rPr>
        <w:t>Odwołanie przysługuje wyłącznie wobec czynności:</w:t>
      </w:r>
    </w:p>
    <w:p>
      <w:pPr>
        <w:pStyle w:val="ListParagraph"/>
        <w:widowControl w:val="false"/>
        <w:numPr>
          <w:ilvl w:val="0"/>
          <w:numId w:val="7"/>
        </w:numPr>
        <w:jc w:val="both"/>
        <w:rPr>
          <w:rFonts w:ascii="Arial" w:hAnsi="Arial"/>
          <w:sz w:val="22"/>
          <w:szCs w:val="22"/>
        </w:rPr>
      </w:pPr>
      <w:r>
        <w:rPr>
          <w:rFonts w:ascii="Arial" w:hAnsi="Arial"/>
          <w:sz w:val="22"/>
          <w:szCs w:val="22"/>
        </w:rPr>
        <w:t>określenia warunków udziału w postępowaniu,</w:t>
      </w:r>
    </w:p>
    <w:p>
      <w:pPr>
        <w:pStyle w:val="Tekst"/>
        <w:numPr>
          <w:ilvl w:val="0"/>
          <w:numId w:val="7"/>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7"/>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7"/>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7"/>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7"/>
        </w:numPr>
        <w:jc w:val="both"/>
        <w:rPr>
          <w:rFonts w:ascii="Arial" w:hAnsi="Arial"/>
          <w:sz w:val="22"/>
          <w:szCs w:val="22"/>
        </w:rPr>
      </w:pPr>
      <w:r>
        <w:rPr>
          <w:rFonts w:ascii="Arial" w:hAnsi="Arial"/>
          <w:sz w:val="22"/>
          <w:szCs w:val="22"/>
        </w:rPr>
        <w:t>wyboru najkorzystniejszej oferty.</w:t>
      </w:r>
    </w:p>
    <w:p>
      <w:pPr>
        <w:pStyle w:val="Normal"/>
        <w:widowControl w:val="false"/>
        <w:numPr>
          <w:ilvl w:val="0"/>
          <w:numId w:val="6"/>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6"/>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6"/>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6"/>
        </w:numPr>
        <w:jc w:val="both"/>
        <w:rPr>
          <w:rFonts w:ascii="Arial" w:hAnsi="Arial"/>
          <w:sz w:val="22"/>
          <w:szCs w:val="22"/>
        </w:rPr>
      </w:pPr>
      <w:r>
        <w:rPr>
          <w:rFonts w:ascii="Arial" w:hAnsi="Arial"/>
          <w:sz w:val="22"/>
          <w:szCs w:val="22"/>
        </w:rPr>
        <w:t>Do skargi mają zastosowanie przepisy art. 198a – 198g ustawy.</w:t>
      </w:r>
    </w:p>
    <w:p>
      <w:pPr>
        <w:pStyle w:val="Normal"/>
        <w:widowControl w:val="false"/>
        <w:jc w:val="both"/>
        <w:rPr/>
      </w:pPr>
      <w:r>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rPr>
          <w:rFonts w:ascii="Arial" w:hAnsi="Arial"/>
          <w:sz w:val="22"/>
          <w:szCs w:val="22"/>
        </w:rPr>
      </w:pPr>
      <w:r>
        <w:rPr>
          <w:rFonts w:ascii="Arial" w:hAnsi="Arial"/>
          <w:sz w:val="22"/>
          <w:szCs w:val="22"/>
        </w:rPr>
        <w:t>1. Wszelkie czynności podejmowane przez Wykonawcę w toku Postępowania wymagają dla</w:t>
      </w:r>
    </w:p>
    <w:p>
      <w:pPr>
        <w:pStyle w:val="Default"/>
        <w:rPr>
          <w:rFonts w:ascii="Arial" w:hAnsi="Arial"/>
          <w:sz w:val="22"/>
          <w:szCs w:val="22"/>
        </w:rPr>
      </w:pPr>
      <w:r>
        <w:rPr>
          <w:rFonts w:ascii="Arial" w:hAnsi="Arial"/>
          <w:sz w:val="22"/>
          <w:szCs w:val="22"/>
        </w:rPr>
        <w:t xml:space="preserve">    </w:t>
      </w:r>
      <w:r>
        <w:rPr>
          <w:rFonts w:ascii="Arial" w:hAnsi="Arial"/>
          <w:sz w:val="22"/>
          <w:szCs w:val="22"/>
        </w:rPr>
        <w:t xml:space="preserve">swej skuteczności dołączenia dokumentów potwierdzających uprawnienie osoby podpisującej  </w:t>
      </w:r>
    </w:p>
    <w:p>
      <w:pPr>
        <w:pStyle w:val="Default"/>
        <w:rPr>
          <w:rFonts w:ascii="Arial" w:hAnsi="Arial"/>
          <w:sz w:val="22"/>
          <w:szCs w:val="22"/>
        </w:rPr>
      </w:pPr>
      <w:r>
        <w:rPr>
          <w:rFonts w:ascii="Arial" w:hAnsi="Arial"/>
          <w:sz w:val="22"/>
          <w:szCs w:val="22"/>
        </w:rPr>
        <w:t xml:space="preserve">    </w:t>
      </w:r>
      <w:r>
        <w:rPr>
          <w:rFonts w:ascii="Arial" w:hAnsi="Arial"/>
          <w:sz w:val="22"/>
          <w:szCs w:val="22"/>
        </w:rPr>
        <w:t xml:space="preserve">do reprezentowania Wykonawcy. Powyższe nie dotyczy sytuacji, gdy Zamawiający dysponuje  </w:t>
      </w:r>
    </w:p>
    <w:p>
      <w:pPr>
        <w:pStyle w:val="Default"/>
        <w:rPr>
          <w:rFonts w:ascii="Arial" w:hAnsi="Arial" w:eastAsia="Arial;Arial" w:cs="Arial;Arial"/>
          <w:color w:val="000000"/>
          <w:sz w:val="22"/>
          <w:szCs w:val="22"/>
        </w:rPr>
      </w:pPr>
      <w:r>
        <w:rPr>
          <w:rFonts w:ascii="Arial" w:hAnsi="Arial"/>
          <w:sz w:val="22"/>
          <w:szCs w:val="22"/>
        </w:rPr>
        <w:t xml:space="preserve">    </w:t>
      </w:r>
      <w:r>
        <w:rPr>
          <w:rFonts w:ascii="Arial" w:hAnsi="Arial"/>
          <w:sz w:val="22"/>
          <w:szCs w:val="22"/>
        </w:rPr>
        <w:t xml:space="preserve">już odpowiednimi dokumentami złożonymi w toku Postępowania. </w:t>
      </w:r>
    </w:p>
    <w:p>
      <w:pPr>
        <w:pStyle w:val="Default"/>
        <w:rPr>
          <w:rFonts w:ascii="Arial" w:hAnsi="Arial" w:eastAsia="Arial;Arial" w:cs="Arial;Arial"/>
          <w:color w:val="000000"/>
          <w:sz w:val="22"/>
          <w:szCs w:val="22"/>
        </w:rPr>
      </w:pPr>
      <w:r>
        <w:rPr>
          <w:rFonts w:ascii="Arial" w:hAnsi="Arial"/>
          <w:sz w:val="22"/>
          <w:szCs w:val="22"/>
        </w:rPr>
        <w:t xml:space="preserve">2. Zamawiający nie zamierza zwołać zebrania Wykonawców. </w:t>
      </w:r>
    </w:p>
    <w:p>
      <w:pPr>
        <w:pStyle w:val="Default"/>
        <w:rPr>
          <w:rFonts w:ascii="Arial" w:hAnsi="Arial" w:eastAsia="Arial;Arial" w:cs="Arial;Arial"/>
          <w:color w:val="000000"/>
          <w:sz w:val="22"/>
          <w:szCs w:val="22"/>
        </w:rPr>
      </w:pPr>
      <w:r>
        <w:rPr>
          <w:rFonts w:ascii="Arial" w:hAnsi="Arial"/>
          <w:sz w:val="22"/>
          <w:szCs w:val="22"/>
        </w:rPr>
        <w:t xml:space="preserve">3. Zamawiający nie dopuszcza możliwości składania ofert wariantowych. </w:t>
      </w:r>
    </w:p>
    <w:p>
      <w:pPr>
        <w:pStyle w:val="Default"/>
        <w:rPr>
          <w:rFonts w:ascii="Arial" w:hAnsi="Arial"/>
          <w:sz w:val="22"/>
          <w:szCs w:val="22"/>
        </w:rPr>
      </w:pPr>
      <w:r>
        <w:rPr>
          <w:rFonts w:ascii="Arial" w:hAnsi="Arial"/>
          <w:sz w:val="22"/>
          <w:szCs w:val="22"/>
        </w:rPr>
        <w:t>4. Zamawiający nie przewiduje zwrotu kosztów udziału w Postępowaniu, z wyjątkiem sytuacji</w:t>
      </w:r>
    </w:p>
    <w:p>
      <w:pPr>
        <w:pStyle w:val="Default"/>
        <w:rPr>
          <w:rFonts w:ascii="Arial" w:hAnsi="Arial" w:eastAsia="Arial;Arial" w:cs="Arial;Arial"/>
          <w:color w:val="000000"/>
          <w:sz w:val="22"/>
          <w:szCs w:val="22"/>
        </w:rPr>
      </w:pPr>
      <w:r>
        <w:rPr>
          <w:rFonts w:ascii="Arial" w:hAnsi="Arial"/>
          <w:sz w:val="22"/>
          <w:szCs w:val="22"/>
        </w:rPr>
        <w:t xml:space="preserve">    </w:t>
      </w:r>
      <w:r>
        <w:rPr>
          <w:rFonts w:ascii="Arial" w:hAnsi="Arial"/>
          <w:sz w:val="22"/>
          <w:szCs w:val="22"/>
        </w:rPr>
        <w:t xml:space="preserve">opisanej w art. 93 ust. 4 ustawy Pzp. </w:t>
      </w:r>
    </w:p>
    <w:p>
      <w:pPr>
        <w:pStyle w:val="Default"/>
        <w:rPr>
          <w:rFonts w:ascii="Arial" w:hAnsi="Arial" w:eastAsia="Arial;Arial" w:cs="Arial;Arial"/>
          <w:color w:val="000000"/>
          <w:sz w:val="22"/>
          <w:szCs w:val="22"/>
        </w:rPr>
      </w:pPr>
      <w:r>
        <w:rPr>
          <w:rFonts w:ascii="Arial" w:hAnsi="Arial"/>
          <w:sz w:val="22"/>
          <w:szCs w:val="22"/>
        </w:rPr>
        <w:t xml:space="preserve">5. Zamawiający nie przewiduje prowadzenia aukcji elektronicznej. </w:t>
      </w:r>
    </w:p>
    <w:p>
      <w:pPr>
        <w:pStyle w:val="Default"/>
        <w:rPr>
          <w:rFonts w:ascii="Arial" w:hAnsi="Arial" w:eastAsia="Arial;Arial" w:cs="Arial;Arial"/>
          <w:color w:val="000000"/>
          <w:sz w:val="22"/>
          <w:szCs w:val="22"/>
        </w:rPr>
      </w:pPr>
      <w:r>
        <w:rPr>
          <w:rFonts w:ascii="Arial" w:hAnsi="Arial"/>
          <w:sz w:val="22"/>
          <w:szCs w:val="22"/>
        </w:rPr>
        <w:t xml:space="preserve">6. Zamawiający nie przewiduje stosowania dynamicznego systemu zakupów. </w:t>
      </w:r>
    </w:p>
    <w:p>
      <w:pPr>
        <w:pStyle w:val="Default"/>
        <w:rPr>
          <w:rFonts w:ascii="Arial" w:hAnsi="Arial" w:eastAsia="Arial;Arial" w:cs="Arial;Arial"/>
          <w:color w:val="000000"/>
          <w:sz w:val="22"/>
          <w:szCs w:val="22"/>
        </w:rPr>
      </w:pPr>
      <w:r>
        <w:rPr>
          <w:rFonts w:ascii="Arial" w:hAnsi="Arial"/>
          <w:sz w:val="22"/>
          <w:szCs w:val="22"/>
        </w:rPr>
        <w:t xml:space="preserve">7. Zamawiający nie przewiduje zawarcia umowy ramowej. </w:t>
      </w:r>
    </w:p>
    <w:p>
      <w:pPr>
        <w:pStyle w:val="Default"/>
        <w:rPr>
          <w:rFonts w:ascii="Arial" w:hAnsi="Arial" w:eastAsia="Arial;Arial" w:cs="Arial;Arial"/>
          <w:color w:val="000000"/>
          <w:sz w:val="22"/>
          <w:szCs w:val="22"/>
        </w:rPr>
      </w:pPr>
      <w:r>
        <w:rPr>
          <w:rFonts w:ascii="Arial" w:hAnsi="Arial"/>
          <w:sz w:val="22"/>
          <w:szCs w:val="22"/>
        </w:rPr>
        <w:t xml:space="preserve">8. Zamawiający nie wymaga wniesienia zabezpieczenia należytego wykonania umowy. </w:t>
      </w:r>
    </w:p>
    <w:p>
      <w:pPr>
        <w:pStyle w:val="Default"/>
        <w:rPr>
          <w:rFonts w:ascii="Arial" w:hAnsi="Arial" w:eastAsia="Arial;Arial" w:cs="Arial;Arial"/>
          <w:color w:val="000000"/>
          <w:sz w:val="22"/>
          <w:szCs w:val="22"/>
        </w:rPr>
      </w:pPr>
      <w:r>
        <w:rPr>
          <w:rFonts w:ascii="Arial" w:hAnsi="Arial"/>
          <w:sz w:val="22"/>
          <w:szCs w:val="22"/>
        </w:rPr>
        <w:t xml:space="preserve">9. Wykonawca może powierzyć wykonanie części zamówienia podwykonawcy. </w:t>
      </w:r>
    </w:p>
    <w:p>
      <w:pPr>
        <w:pStyle w:val="Default"/>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rPr>
          <w:rFonts w:ascii="Arial" w:hAnsi="Arial" w:cs="Arial"/>
          <w:sz w:val="22"/>
          <w:szCs w:val="22"/>
          <w:highlight w:val="white"/>
        </w:rPr>
      </w:pPr>
      <w:r>
        <w:rPr>
          <w:rFonts w:ascii="Arial" w:hAnsi="Arial"/>
          <w:sz w:val="22"/>
          <w:szCs w:val="22"/>
        </w:rPr>
        <w:t>11. Zamawiający nie przewiduje zamówień uzupełniających.</w:t>
      </w:r>
    </w:p>
    <w:p>
      <w:pPr>
        <w:pStyle w:val="Default"/>
        <w:rPr>
          <w:rFonts w:ascii="Arial" w:hAnsi="Arial" w:cs="Arial"/>
          <w:sz w:val="22"/>
          <w:szCs w:val="22"/>
          <w:highlight w:val="white"/>
        </w:rPr>
      </w:pPr>
      <w:r>
        <w:rPr>
          <w:rFonts w:ascii="Arial" w:hAnsi="Arial"/>
          <w:sz w:val="22"/>
          <w:szCs w:val="22"/>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opis przedmiotu zamówienia,formularz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4,4a– projekty umów.</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Proszowice, dnia 13.02.2018 r.                                                    Zatwierdzam:</w:t>
        <w:tab/>
        <w:tab/>
        <w:tab/>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rFonts w:ascii="Arial" w:hAnsi="Arial" w:cs="Arial"/>
          <w:sz w:val="22"/>
          <w:szCs w:val="22"/>
        </w:rPr>
      </w:pPr>
      <w:r>
        <w:rPr/>
      </w:r>
    </w:p>
    <w:p>
      <w:pPr>
        <w:pStyle w:val="Normal"/>
        <w:ind w:left="0" w:right="0" w:hanging="0"/>
        <w:jc w:val="both"/>
        <w:rPr/>
      </w:pPr>
      <w:r>
        <w:rPr>
          <w:rFonts w:cs="Arial" w:ascii="Arial" w:hAnsi="Arial"/>
          <w:sz w:val="22"/>
          <w:szCs w:val="22"/>
        </w:rPr>
        <w:tab/>
        <w:tab/>
        <w:tab/>
        <w:tab/>
        <w:tab/>
      </w:r>
    </w:p>
    <w:p>
      <w:pPr>
        <w:pStyle w:val="Normal"/>
        <w:rPr/>
      </w:pPr>
      <w:r>
        <w:rPr>
          <w:rFonts w:ascii="Arial" w:hAnsi="Arial"/>
          <w:sz w:val="22"/>
          <w:szCs w:val="22"/>
        </w:rPr>
        <w:t xml:space="preserve">Oznaczenie  sprawy: 05/ZP/2018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pPr>
      <w:r>
        <w:rPr>
          <w:rFonts w:cs="Arial" w:ascii="Arial" w:hAnsi="Arial"/>
          <w:b/>
          <w:sz w:val="22"/>
          <w:szCs w:val="22"/>
        </w:rPr>
        <w:t>Dostawa do magazynu apteki szpitalnej  materiałów opatrunkowych, produktów leczniczych i wyrobów medycznych.</w:t>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rFonts w:ascii="Arial" w:hAnsi="Arial"/>
          <w:sz w:val="22"/>
          <w:szCs w:val="22"/>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4/4a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pPr>
      <w:r>
        <w:rPr>
          <w:rFonts w:ascii="Arial" w:hAnsi="Arial"/>
          <w:b w:val="false"/>
          <w:bCs w:val="false"/>
          <w:sz w:val="22"/>
          <w:szCs w:val="22"/>
        </w:rPr>
        <w:t>Pakiet Nr ____________</w:t>
      </w:r>
      <w:r>
        <w:rPr>
          <w:rFonts w:ascii="Arial" w:hAnsi="Arial"/>
          <w:b w:val="false"/>
          <w:bCs w:val="false"/>
          <w:sz w:val="16"/>
          <w:szCs w:val="16"/>
        </w:rPr>
        <w:t xml:space="preserve">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rFonts w:ascii="Arial" w:hAnsi="Arial" w:cs="Times New Roman"/>
          <w:b w:val="false"/>
          <w:b w:val="false"/>
          <w:sz w:val="22"/>
          <w:szCs w:val="22"/>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val="false"/>
          <w:bCs w:val="false"/>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bCs/>
        </w:rPr>
      </w:pPr>
      <w:r>
        <w:rPr>
          <w:bCs/>
        </w:rPr>
      </w:r>
    </w:p>
    <w:p>
      <w:pPr>
        <w:pStyle w:val="Normal"/>
        <w:rPr/>
      </w:pPr>
      <w:r>
        <w:rPr/>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Wykonawca jest  mikro/małym/średnim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Pakiet  I – V -  12 miesięcy od daty podpisania umowy, Pakiet VI i VIII – 5 miesięcy od daty podpisania umowy, Pakiet VII – 8 miesięcy od daty podpisania umowy.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r>
    </w:p>
    <w:p>
      <w:pPr>
        <w:pStyle w:val="Normal"/>
        <w:jc w:val="both"/>
        <w:rPr>
          <w:rFonts w:ascii="Arial" w:hAnsi="Arial"/>
          <w:sz w:val="22"/>
          <w:szCs w:val="22"/>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05/ZP/2018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sz w:val="22"/>
          <w:szCs w:val="22"/>
        </w:rPr>
        <w:t>Dostawa materiałów opatrunkowych / produktów leczniczych / wyrobów medycznych</w:t>
      </w:r>
      <w:r>
        <w:rPr>
          <w:rFonts w:cs="Arial" w:ascii="Arial" w:hAnsi="Arial"/>
          <w:sz w:val="22"/>
          <w:szCs w:val="22"/>
        </w:rPr>
        <w:t xml:space="preserve">, prowadzonego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0" w:name="_GoBack1"/>
      <w:bookmarkStart w:id="1" w:name="_GoBack1"/>
      <w:bookmarkEnd w:id="1"/>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05/ZP/2018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materiałów opatrunkowych / produktów leczniczych / wyrobów medycznych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2" w:name="_GoBack"/>
      <w:bookmarkEnd w:id="2"/>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ascii="Arial" w:hAnsi="Arial"/>
      <w:b w:val="false"/>
      <w:bCs/>
      <w:sz w:val="22"/>
    </w:rPr>
  </w:style>
  <w:style w:type="character" w:styleId="ListLabel935">
    <w:name w:val="ListLabel 935"/>
    <w:qFormat/>
    <w:rPr>
      <w:rFonts w:ascii="Arial" w:hAnsi="Arial"/>
      <w:b w:val="false"/>
      <w:bCs/>
      <w:sz w:val="22"/>
    </w:rPr>
  </w:style>
  <w:style w:type="character" w:styleId="ListLabel936">
    <w:name w:val="ListLabel 936"/>
    <w:qFormat/>
    <w:rPr>
      <w:b/>
      <w:bCs/>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rFonts w:ascii="Arial" w:hAnsi="Arial"/>
      <w:b w:val="false"/>
      <w:sz w:val="22"/>
    </w:rPr>
  </w:style>
  <w:style w:type="character" w:styleId="ListLabel945">
    <w:name w:val="ListLabel 945"/>
    <w:qFormat/>
    <w:rPr>
      <w:rFonts w:ascii="Arial" w:hAnsi="Arial"/>
      <w:b/>
      <w:sz w:val="21"/>
    </w:rPr>
  </w:style>
  <w:style w:type="character" w:styleId="ListLabel946">
    <w:name w:val="ListLabel 946"/>
    <w:qFormat/>
    <w:rPr>
      <w:rFonts w:ascii="Arial" w:hAnsi="Arial" w:cs="Symbol"/>
      <w:sz w:val="22"/>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ascii="Arial" w:hAnsi="Arial"/>
      <w:b w:val="false"/>
      <w:bCs/>
      <w:sz w:val="22"/>
    </w:rPr>
  </w:style>
  <w:style w:type="character" w:styleId="ListLabel956">
    <w:name w:val="ListLabel 956"/>
    <w:qFormat/>
    <w:rPr>
      <w:rFonts w:ascii="Arial" w:hAnsi="Arial"/>
      <w:b w:val="false"/>
      <w:bCs/>
      <w:sz w:val="22"/>
    </w:rPr>
  </w:style>
  <w:style w:type="character" w:styleId="ListLabel957">
    <w:name w:val="ListLabel 957"/>
    <w:qFormat/>
    <w:rPr>
      <w:b/>
      <w:bCs/>
    </w:rPr>
  </w:style>
  <w:style w:type="character" w:styleId="ListLabel958">
    <w:name w:val="ListLabel 958"/>
    <w:qFormat/>
    <w:rPr>
      <w:b/>
      <w:bCs/>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rFonts w:ascii="Arial" w:hAnsi="Arial"/>
      <w:b w:val="false"/>
      <w:sz w:val="22"/>
    </w:rPr>
  </w:style>
  <w:style w:type="character" w:styleId="ListLabel966">
    <w:name w:val="ListLabel 966"/>
    <w:qFormat/>
    <w:rPr>
      <w:rFonts w:ascii="Arial" w:hAnsi="Arial"/>
      <w:b/>
      <w:sz w:val="21"/>
    </w:rPr>
  </w:style>
  <w:style w:type="character" w:styleId="ListLabel967">
    <w:name w:val="ListLabel 967"/>
    <w:qFormat/>
    <w:rPr>
      <w:rFonts w:ascii="Arial" w:hAnsi="Arial" w:cs="Symbol"/>
      <w:sz w:val="22"/>
    </w:rPr>
  </w:style>
  <w:style w:type="character" w:styleId="ListLabel968">
    <w:name w:val="ListLabel 968"/>
    <w:qFormat/>
    <w:rPr>
      <w:rFonts w:cs="Courier New"/>
    </w:rPr>
  </w:style>
  <w:style w:type="character" w:styleId="ListLabel969">
    <w:name w:val="ListLabel 969"/>
    <w:qFormat/>
    <w:rPr>
      <w:rFonts w:cs="Wingdings"/>
    </w:rPr>
  </w:style>
  <w:style w:type="character" w:styleId="ListLabel970">
    <w:name w:val="ListLabel 970"/>
    <w:qFormat/>
    <w:rPr>
      <w:rFonts w:cs="Symbol"/>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ascii="Arial" w:hAnsi="Arial"/>
      <w:b w:val="false"/>
      <w:bCs/>
      <w:sz w:val="22"/>
    </w:rPr>
  </w:style>
  <w:style w:type="character" w:styleId="ListLabel977">
    <w:name w:val="ListLabel 977"/>
    <w:qFormat/>
    <w:rPr>
      <w:rFonts w:ascii="Arial" w:hAnsi="Arial"/>
      <w:b w:val="false"/>
      <w:bCs/>
      <w:sz w:val="22"/>
    </w:rPr>
  </w:style>
  <w:style w:type="character" w:styleId="ListLabel978">
    <w:name w:val="ListLabel 978"/>
    <w:qFormat/>
    <w:rPr>
      <w:b/>
      <w:bCs/>
    </w:rPr>
  </w:style>
  <w:style w:type="character" w:styleId="ListLabel979">
    <w:name w:val="ListLabel 979"/>
    <w:qFormat/>
    <w:rPr>
      <w:b/>
      <w:bCs/>
    </w:rPr>
  </w:style>
  <w:style w:type="character" w:styleId="ListLabel980">
    <w:name w:val="ListLabel 980"/>
    <w:qFormat/>
    <w:rPr>
      <w:b/>
      <w:bCs/>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rFonts w:ascii="Arial" w:hAnsi="Arial"/>
      <w:b w:val="false"/>
      <w:sz w:val="22"/>
    </w:rPr>
  </w:style>
  <w:style w:type="character" w:styleId="ListLabel987">
    <w:name w:val="ListLabel 987"/>
    <w:qFormat/>
    <w:rPr>
      <w:rFonts w:ascii="Arial" w:hAnsi="Arial"/>
      <w:b/>
      <w:sz w:val="21"/>
    </w:rPr>
  </w:style>
  <w:style w:type="character" w:styleId="ListLabel988">
    <w:name w:val="ListLabel 988"/>
    <w:qFormat/>
    <w:rPr>
      <w:rFonts w:ascii="Arial" w:hAnsi="Arial" w:cs="Symbol"/>
      <w:sz w:val="22"/>
    </w:rPr>
  </w:style>
  <w:style w:type="character" w:styleId="ListLabel989">
    <w:name w:val="ListLabel 989"/>
    <w:qFormat/>
    <w:rPr>
      <w:rFonts w:cs="Courier New"/>
    </w:rPr>
  </w:style>
  <w:style w:type="character" w:styleId="ListLabel990">
    <w:name w:val="ListLabel 990"/>
    <w:qFormat/>
    <w:rPr>
      <w:rFonts w:cs="Wingdings"/>
    </w:rPr>
  </w:style>
  <w:style w:type="character" w:styleId="ListLabel991">
    <w:name w:val="ListLabel 991"/>
    <w:qFormat/>
    <w:rPr>
      <w:rFonts w:cs="Symbol"/>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ascii="Arial" w:hAnsi="Arial"/>
      <w:b w:val="false"/>
      <w:bCs/>
      <w:sz w:val="22"/>
    </w:rPr>
  </w:style>
  <w:style w:type="character" w:styleId="ListLabel998">
    <w:name w:val="ListLabel 998"/>
    <w:qFormat/>
    <w:rPr>
      <w:rFonts w:ascii="Arial" w:hAnsi="Arial"/>
      <w:b w:val="false"/>
      <w:bCs/>
      <w:sz w:val="22"/>
    </w:rPr>
  </w:style>
  <w:style w:type="character" w:styleId="ListLabel999">
    <w:name w:val="ListLabel 999"/>
    <w:qFormat/>
    <w:rPr>
      <w:b/>
      <w:bCs/>
    </w:rPr>
  </w:style>
  <w:style w:type="character" w:styleId="ListLabel1000">
    <w:name w:val="ListLabel 1000"/>
    <w:qFormat/>
    <w:rPr>
      <w:b/>
      <w:bCs/>
    </w:rPr>
  </w:style>
  <w:style w:type="character" w:styleId="ListLabel1001">
    <w:name w:val="ListLabel 1001"/>
    <w:qFormat/>
    <w:rPr>
      <w:b/>
      <w:bCs/>
    </w:rPr>
  </w:style>
  <w:style w:type="character" w:styleId="ListLabel1002">
    <w:name w:val="ListLabel 1002"/>
    <w:qFormat/>
    <w:rPr>
      <w:b/>
      <w:bCs/>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8815</TotalTime>
  <Application>LibreOffice/5.2.1.2$Windows_x86 LibreOffice_project/31dd62db80d4e60af04904455ec9c9219178d620</Application>
  <Pages>17</Pages>
  <Words>4210</Words>
  <Characters>29437</Characters>
  <CharactersWithSpaces>36428</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2018-02-13T11:15:09Z</cp:lastPrinted>
  <dcterms:modified xsi:type="dcterms:W3CDTF">2018-02-13T11:18:04Z</dcterms:modified>
  <cp:revision>496</cp:revision>
  <dc:subject/>
  <dc:title/>
</cp:coreProperties>
</file>