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Proszowice, dnia 16.02.2018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Uczestnicy postępowania prowadzonego w trybie przetargu nieograniczonego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na</w:t>
      </w:r>
      <w:r>
        <w:rPr>
          <w:rFonts w:eastAsia="Calibri" w:cs="Calibri"/>
          <w:b/>
          <w:bCs/>
          <w:sz w:val="22"/>
          <w:szCs w:val="22"/>
          <w:highlight w:val="white"/>
          <w:u w:val="none"/>
          <w:lang w:val="pl-PL"/>
        </w:rPr>
        <w:t xml:space="preserve"> </w:t>
      </w:r>
      <w:r>
        <w:rPr>
          <w:rStyle w:val="Mocnowyrniony"/>
          <w:rFonts w:eastAsia="Calibri"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  <w:t> d</w:t>
      </w:r>
      <w:r>
        <w:rPr>
          <w:rStyle w:val="Mocnowyrniony"/>
          <w:rFonts w:eastAsia="Calibri" w:cs="Arial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highlight w:val="white"/>
          <w:u w:val="none"/>
          <w:effect w:val="none"/>
          <w:lang w:val="pl-PL"/>
        </w:rPr>
        <w:t>ostawę do magazynu apteki szpitalnej materiałów opatrunkowych, produktów leczniczych                      i wyrobów medycznych.</w:t>
      </w:r>
    </w:p>
    <w:p>
      <w:pPr>
        <w:pStyle w:val="Normal"/>
        <w:jc w:val="center"/>
        <w:rPr>
          <w:rStyle w:val="Mocnowyrniony"/>
          <w:rFonts w:eastAsia="Calibri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pPr>
      <w:r>
        <w:rPr>
          <w:rFonts w:eastAsia="Calibri"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r>
    </w:p>
    <w:p>
      <w:pPr>
        <w:pStyle w:val="Normal"/>
        <w:jc w:val="center"/>
        <w:rPr>
          <w:rStyle w:val="Mocnowyrniony"/>
          <w:rFonts w:eastAsia="Calibri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pPr>
      <w:r>
        <w:rPr>
          <w:rFonts w:eastAsia="Calibri"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Oznaczenie sprawy: 05/ZP/2018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highlight w:val="white"/>
        </w:rPr>
        <w:t>W związku z wniesieniem zapytania przez Wykonawcę, Zamawiający przedstawia treść pytania i udziela pisemnej odpowiedzi zgodnie z art. 38 ust. 2 ustawy z dnia 29 stycznia 2004 roku Prawo zamówień publicznych  (Dz. U. z 2017 r. poz. 1579 z późniejszymi zmianami).</w:t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highlight w:val="white"/>
          <w:u w:val="single"/>
        </w:rPr>
      </w:pPr>
      <w:r>
        <w:rPr>
          <w:b/>
          <w:bCs/>
          <w:i w:val="false"/>
          <w:iCs w:val="false"/>
          <w:sz w:val="22"/>
          <w:szCs w:val="22"/>
          <w:highlight w:val="white"/>
          <w:u w:val="single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b/>
          <w:bCs/>
          <w:u w:val="single"/>
        </w:rPr>
        <w:t>Pytanie 1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eastAsia="Times New Roman" w:cs="Tahoma"/>
          <w:b/>
          <w:bCs/>
          <w:sz w:val="24"/>
          <w:szCs w:val="24"/>
          <w:highlight w:val="white"/>
          <w:lang w:val="pl-PL" w:eastAsia="pl-PL"/>
        </w:rPr>
        <w:t>Pakiet IV dot. pkt 1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ahoma"/>
          <w:b w:val="false"/>
          <w:bCs w:val="false"/>
          <w:sz w:val="24"/>
          <w:szCs w:val="24"/>
          <w:highlight w:val="white"/>
          <w:lang w:val="pl-PL" w:eastAsia="pl-PL"/>
        </w:rPr>
        <w:t>„</w:t>
      </w:r>
      <w:r>
        <w:rPr>
          <w:rFonts w:eastAsia="Times New Roman" w:cs="Tahoma"/>
          <w:b w:val="false"/>
          <w:bCs w:val="false"/>
          <w:sz w:val="24"/>
          <w:szCs w:val="24"/>
          <w:highlight w:val="white"/>
          <w:lang w:val="pl-PL" w:eastAsia="pl-PL"/>
        </w:rPr>
        <w:t xml:space="preserve">Czy Zamawiający dopuści na zasadzie równoważności opatrunek hydrożelowy o rozmiarze 10cm x 10cm?”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 w:val="false"/>
          <w:bCs w:val="false"/>
          <w:highlight w:val="white"/>
        </w:rPr>
        <w:t>Zgodnie z SIWZ.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highlight w:val="yellow"/>
        </w:rPr>
      </w:pPr>
      <w:r>
        <w:rPr>
          <w:b/>
          <w:bCs/>
          <w:u w:val="single"/>
        </w:rPr>
        <w:t>Pytanie 2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eastAsia="Times New Roman" w:cs="Tahoma"/>
          <w:b/>
          <w:bCs/>
          <w:sz w:val="24"/>
          <w:szCs w:val="24"/>
          <w:highlight w:val="white"/>
          <w:lang w:val="pl-PL" w:eastAsia="pl-PL"/>
        </w:rPr>
        <w:t>Pakiet IV dot. pkt 2</w:t>
      </w:r>
    </w:p>
    <w:p>
      <w:pPr>
        <w:pStyle w:val="Normal"/>
        <w:jc w:val="both"/>
        <w:rPr/>
      </w:pPr>
      <w:r>
        <w:rPr>
          <w:sz w:val="24"/>
          <w:szCs w:val="24"/>
          <w:lang w:val="pl-PL"/>
        </w:rPr>
        <w:t>„</w:t>
      </w:r>
      <w:r>
        <w:rPr>
          <w:sz w:val="24"/>
          <w:szCs w:val="24"/>
          <w:lang w:val="pl-PL"/>
        </w:rPr>
        <w:t xml:space="preserve">Czy Zamawiający dopuści na zasadzie równoważności opatrunek hydrożelowy o rozmiarze 20cm x 20cm?” </w:t>
      </w:r>
    </w:p>
    <w:p>
      <w:pPr>
        <w:pStyle w:val="Normal"/>
        <w:jc w:val="both"/>
        <w:rPr>
          <w:rFonts w:cs="Tahoma"/>
          <w:highlight w:val="white"/>
        </w:rPr>
      </w:pPr>
      <w:r>
        <w:rPr>
          <w:rFonts w:cs="Tahoma"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 w:val="false"/>
          <w:bCs w:val="false"/>
          <w:sz w:val="24"/>
          <w:szCs w:val="24"/>
          <w:highlight w:val="white"/>
          <w:u w:val="none"/>
        </w:rPr>
        <w:t>Zgodnie z SIWZ.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ahoma"/>
          <w:highlight w:val="white"/>
        </w:rPr>
      </w:pPr>
      <w:r>
        <w:rPr>
          <w:rFonts w:cs="Tahoma"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ahoma"/>
          <w:b/>
          <w:bCs/>
          <w:sz w:val="24"/>
          <w:szCs w:val="24"/>
          <w:u w:val="single"/>
        </w:rPr>
        <w:t>Pytanie 3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eastAsia="Times New Roman" w:cs="Tahoma"/>
          <w:b/>
          <w:bCs/>
          <w:sz w:val="24"/>
          <w:szCs w:val="24"/>
          <w:highlight w:val="white"/>
          <w:u w:val="none"/>
          <w:lang w:val="pl-PL" w:eastAsia="pl-PL"/>
        </w:rPr>
        <w:t>Pakiet IV dot. pkt 3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ahoma"/>
          <w:b w:val="false"/>
          <w:bCs w:val="false"/>
          <w:sz w:val="24"/>
          <w:szCs w:val="24"/>
          <w:highlight w:val="white"/>
          <w:u w:val="none"/>
          <w:lang w:val="pl-PL" w:eastAsia="pl-PL"/>
        </w:rPr>
        <w:t>„</w:t>
      </w:r>
      <w:r>
        <w:rPr>
          <w:rFonts w:eastAsia="Times New Roman" w:cs="Tahoma"/>
          <w:b w:val="false"/>
          <w:bCs w:val="false"/>
          <w:sz w:val="24"/>
          <w:szCs w:val="24"/>
          <w:highlight w:val="white"/>
          <w:u w:val="none"/>
          <w:lang w:val="pl-PL" w:eastAsia="pl-PL"/>
        </w:rPr>
        <w:t>Czy zamawiający dopuści na zasadzie równawożności opatrunek hydrożelowy o rozmiarze 2,5cm x 50cm?”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 w:val="false"/>
          <w:bCs w:val="false"/>
          <w:sz w:val="24"/>
          <w:szCs w:val="24"/>
          <w:highlight w:val="white"/>
        </w:rPr>
        <w:t>Zgodnie z SIWZ.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ahoma"/>
          <w:b/>
          <w:bCs/>
          <w:sz w:val="24"/>
          <w:szCs w:val="24"/>
          <w:highlight w:val="white"/>
          <w:u w:val="single"/>
        </w:rPr>
        <w:t>Pytanie 4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eastAsia="Times New Roman" w:cs="Tahoma"/>
          <w:b/>
          <w:bCs/>
          <w:sz w:val="24"/>
          <w:szCs w:val="24"/>
          <w:highlight w:val="white"/>
          <w:u w:val="none"/>
          <w:lang w:val="pl-PL" w:eastAsia="pl-PL"/>
        </w:rPr>
        <w:t>Pakiet IV dot. pkt 3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ahoma"/>
          <w:b w:val="false"/>
          <w:bCs w:val="false"/>
          <w:sz w:val="24"/>
          <w:szCs w:val="24"/>
          <w:lang w:eastAsia="pl-PL"/>
        </w:rPr>
        <w:t>„</w:t>
      </w:r>
      <w:r>
        <w:rPr>
          <w:rFonts w:eastAsia="Times New Roman" w:cs="Tahoma"/>
          <w:b w:val="false"/>
          <w:bCs w:val="false"/>
          <w:sz w:val="24"/>
          <w:szCs w:val="24"/>
          <w:lang w:eastAsia="pl-PL"/>
        </w:rPr>
        <w:t>Czy Zamwiający dopuści na zasadzie równaważności opatrunek hydrożelowy o rozmiarze 5cm x 1m?”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cs="Tahoma"/>
          <w:b w:val="false"/>
          <w:bCs w:val="false"/>
          <w:sz w:val="24"/>
          <w:szCs w:val="24"/>
          <w:highlight w:val="white"/>
        </w:rPr>
        <w:t>Zgodnie z SIWZ.</w:t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jc w:val="both"/>
        <w:rPr>
          <w:rFonts w:cs="Tahoma"/>
          <w:bCs/>
        </w:rPr>
      </w:pPr>
      <w:r>
        <w:rPr>
          <w:rFonts w:cs="Tahoma"/>
          <w:bCs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/>
      </w:pPr>
      <w:r>
        <w:rPr>
          <w:rFonts w:cs="Tahoma"/>
          <w:b/>
          <w:bCs/>
          <w:sz w:val="24"/>
          <w:szCs w:val="24"/>
          <w:highlight w:val="white"/>
          <w:u w:val="single"/>
        </w:rPr>
        <w:t>Pytanie 5</w:t>
      </w:r>
    </w:p>
    <w:p>
      <w:pPr>
        <w:pStyle w:val="Normal"/>
        <w:widowControl/>
        <w:suppressAutoHyphens w:val="false"/>
        <w:spacing w:lineRule="atLeast" w:line="240" w:before="0" w:after="0"/>
        <w:ind w:right="0" w:hanging="0"/>
        <w:jc w:val="both"/>
        <w:rPr>
          <w:rFonts w:ascii="Times New Roman" w:hAnsi="Times New Roman" w:cs="Tahoma"/>
          <w:b/>
          <w:b/>
          <w:bCs/>
          <w:sz w:val="24"/>
          <w:szCs w:val="24"/>
        </w:rPr>
      </w:pPr>
      <w:r>
        <w:rPr>
          <w:rFonts w:eastAsia="Times New Roman" w:cs="Tahoma"/>
          <w:b/>
          <w:bCs/>
          <w:sz w:val="24"/>
          <w:szCs w:val="24"/>
          <w:highlight w:val="white"/>
          <w:u w:val="none"/>
          <w:lang w:val="pl-PL" w:eastAsia="pl-PL"/>
        </w:rPr>
        <w:t>Pakiet IV dot. pkt 3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rFonts w:ascii="Times New Roman" w:hAnsi="Times New Roman" w:cs="Tahoma"/>
          <w:b w:val="false"/>
          <w:b w:val="false"/>
          <w:bCs w:val="false"/>
          <w:sz w:val="24"/>
          <w:szCs w:val="24"/>
        </w:rPr>
      </w:pPr>
      <w:r>
        <w:rPr>
          <w:rFonts w:cs="Tahoma"/>
          <w:b w:val="false"/>
          <w:bCs w:val="false"/>
          <w:sz w:val="24"/>
          <w:szCs w:val="24"/>
          <w:highlight w:val="white"/>
          <w:u w:val="none"/>
        </w:rPr>
        <w:t>„</w:t>
      </w:r>
      <w:r>
        <w:rPr>
          <w:rFonts w:cs="Tahoma"/>
          <w:b w:val="false"/>
          <w:bCs w:val="false"/>
          <w:sz w:val="24"/>
          <w:szCs w:val="24"/>
          <w:highlight w:val="white"/>
          <w:u w:val="none"/>
        </w:rPr>
        <w:t>Czy zamawiający dopuści na zasadzie równoważności opatrunek hydrożelowy o rozmiarze 20cm x 45cm?”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left"/>
        <w:rPr>
          <w:rFonts w:cs="Tahoma"/>
          <w:b/>
          <w:b/>
          <w:bCs/>
          <w:sz w:val="24"/>
          <w:szCs w:val="24"/>
          <w:highlight w:val="white"/>
          <w:u w:val="none"/>
        </w:rPr>
      </w:pPr>
      <w:r>
        <w:rPr>
          <w:rFonts w:cs="Tahoma"/>
          <w:b/>
          <w:bCs/>
          <w:sz w:val="24"/>
          <w:szCs w:val="24"/>
          <w:highlight w:val="white"/>
          <w:u w:val="non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b/>
          <w:bCs/>
          <w:highlight w:val="white"/>
        </w:rPr>
        <w:t>Odpowiedź: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Tahoma"/>
          <w:bCs/>
        </w:rPr>
      </w:pPr>
      <w:r>
        <w:rPr>
          <w:rFonts w:cs="Tahoma"/>
          <w:b w:val="false"/>
          <w:bCs w:val="false"/>
          <w:sz w:val="24"/>
          <w:szCs w:val="24"/>
          <w:highlight w:val="white"/>
        </w:rPr>
        <w:t>Zgodnie z SIWZ.</w:t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>
          <w:rFonts w:cs="" w:cstheme="minorHAnsi"/>
          <w:b w:val="false"/>
          <w:b w:val="false"/>
          <w:bCs w:val="false"/>
          <w:sz w:val="24"/>
          <w:szCs w:val="24"/>
          <w:highlight w:val="white"/>
          <w:lang w:val="pl-PL"/>
        </w:rPr>
      </w:pPr>
      <w:r>
        <w:rPr>
          <w:rFonts w:cs="" w:cstheme="minorHAnsi"/>
          <w:b w:val="false"/>
          <w:bCs w:val="false"/>
          <w:sz w:val="24"/>
          <w:szCs w:val="24"/>
          <w:highlight w:val="white"/>
          <w:lang w:val="pl-PL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highlight w:val="white"/>
        </w:rPr>
        <w:t xml:space="preserve">Powyższe wyjaśnienia Zamawiający zamieszcza na stronie internetowej </w:t>
      </w:r>
      <w:r>
        <w:rPr/>
        <w:t>w dniu 1</w:t>
      </w:r>
      <w:r>
        <w:rPr/>
        <w:t>9</w:t>
      </w:r>
      <w:r>
        <w:rPr/>
        <w:t>.02.2018 r.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character" w:styleId="WW8Num22z0">
    <w:name w:val="WW8Num22z0"/>
    <w:qFormat/>
    <w:rPr>
      <w:lang w:val="pl-P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36z0">
    <w:name w:val="WW8Num36z0"/>
    <w:qFormat/>
    <w:rPr>
      <w:b w:val="false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ListLabel1">
    <w:name w:val="ListLabel 1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fals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tru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fals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  <w:style w:type="numbering" w:styleId="WW8Num22">
    <w:name w:val="WW8Num22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5755</TotalTime>
  <Application>LibreOffice/5.2.1.2$Windows_x86 LibreOffice_project/31dd62db80d4e60af04904455ec9c9219178d620</Application>
  <Pages>2</Pages>
  <Words>209</Words>
  <Characters>1250</Characters>
  <CharactersWithSpaces>1477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cp:lastPrinted>2018-02-16T11:36:42Z</cp:lastPrinted>
  <dcterms:modified xsi:type="dcterms:W3CDTF">2018-02-19T09:59:41Z</dcterms:modified>
  <cp:revision>476</cp:revision>
  <dc:subject/>
  <dc:title/>
</cp:coreProperties>
</file>