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Pakiet II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Załącznik nr 2 do SIWZ</w:t>
      </w:r>
    </w:p>
    <w:p>
      <w:pPr>
        <w:pStyle w:val="Normal"/>
        <w:rPr/>
      </w:pPr>
      <w:r>
        <w:rPr>
          <w:rFonts w:ascii="Arial" w:hAnsi="Arial"/>
          <w:b/>
          <w:bCs/>
          <w:sz w:val="20"/>
          <w:szCs w:val="20"/>
        </w:rPr>
        <w:t xml:space="preserve">Oznaczenie sprawy: 04/2018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Podłoża do hodowli drobnoustrojów z krwi i płynów ustrojowych  wraz z dzierżawą aparatu do hodowli i detekcji drobnoustrojów z krwi i płynów ustrojowych.</w:t>
      </w:r>
    </w:p>
    <w:tbl>
      <w:tblPr>
        <w:tblW w:w="15585" w:type="dxa"/>
        <w:jc w:val="left"/>
        <w:tblInd w:w="-5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0"/>
        <w:gridCol w:w="5098"/>
        <w:gridCol w:w="1037"/>
        <w:gridCol w:w="1125"/>
        <w:gridCol w:w="975"/>
        <w:gridCol w:w="960"/>
        <w:gridCol w:w="735"/>
        <w:gridCol w:w="1125"/>
        <w:gridCol w:w="1200"/>
        <w:gridCol w:w="1365"/>
        <w:gridCol w:w="1063"/>
      </w:tblGrid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widowControl/>
              <w:suppressLineNumbers/>
              <w:overflowPunct w:val="false"/>
              <w:bidi w:val="0"/>
              <w:ind w:left="0" w:right="0" w:hanging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L. p.</w:t>
            </w:r>
          </w:p>
        </w:tc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OPIS PRZEDMIOTU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Nr katalogowy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szt. w opakowaniu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Ilość opakowań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op. netto w PLN</w:t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Stawka VAT %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Cena op. brutto w PLN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netto w PLN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podatku VAT w PLN</w:t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Wartość brutto w PLN</w:t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1.</w:t>
            </w:r>
          </w:p>
        </w:tc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Podłoże do hodowli </w:t>
            </w:r>
            <w:r>
              <w:rPr>
                <w:rFonts w:ascii="Arial" w:hAnsi="Arial"/>
                <w:b/>
                <w:bCs/>
                <w:sz w:val="18"/>
                <w:szCs w:val="18"/>
                <w:u w:val="none"/>
              </w:rPr>
              <w:t xml:space="preserve">drobnoustrojów tlenowych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z krwi i jałowych płynów ustrojowych z inhibitorami antybiotyków, w butelkach z tworzywa sztucznego, z możliwością przechowywania w temperaturze pokojowej oraz ze znacznikiem wzrostu zmieniającym zabarwienie.</w:t>
            </w:r>
          </w:p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Możliwość hodowli grzybów i bakterii w tym samym podłożu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2.</w:t>
            </w:r>
          </w:p>
        </w:tc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Podłoże do hodowli </w:t>
            </w:r>
            <w:r>
              <w:rPr>
                <w:rFonts w:ascii="Arial" w:hAnsi="Arial"/>
                <w:b/>
                <w:bCs/>
                <w:sz w:val="18"/>
                <w:szCs w:val="18"/>
                <w:u w:val="none"/>
              </w:rPr>
              <w:t xml:space="preserve">drobnoustrojów beztlenowych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z krwi i jałowych płynów ustrojowych z inhibitorami antybiotyków, w butelkach z tworzywa sztucznego, z możliwością przechowywania w temperaturze pokojowej oraz ze znacznikiem wzrostu zmieniającym zabarwienie.</w:t>
            </w:r>
          </w:p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3.</w:t>
            </w:r>
          </w:p>
        </w:tc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none"/>
              </w:rPr>
              <w:t xml:space="preserve">Podłoże pediatryczne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  <w:t>(ilość próbki od 0,5 ml) do hodowli drobnoustrojów tlenowych i beztlenowych z krwi i jałowych płynów ustrojowych z inhibitorami antybiotyków, w butelkach z tworzywa sztucznego, z możliwością przechowywania w temperaturze pokojowej oraz ze znacznikiem wzrostu zmieniającym zabarwienie.</w:t>
            </w:r>
          </w:p>
          <w:p>
            <w:pPr>
              <w:pStyle w:val="Zawartotabeli"/>
              <w:rPr>
                <w:rFonts w:ascii="Arial" w:hAnsi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  <w:vAlign w:val="cente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r>
          </w:p>
        </w:tc>
        <w:tc>
          <w:tcPr>
            <w:tcW w:w="5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rFonts w:ascii="Arial" w:hAnsi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LibreOffice/5.2.1.2$Windows_x86 LibreOffice_project/31dd62db80d4e60af04904455ec9c9219178d620</Application>
  <Pages>1</Pages>
  <Words>191</Words>
  <Characters>1128</Characters>
  <CharactersWithSpaces>1701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2018-01-17T12:39:33Z</dcterms:created>
  <dc:creator/>
  <dc:description/>
  <dc:language>pl-PL</dc:language>
  <cp:lastModifiedBy/>
  <cp:lastPrinted>2018-02-07T09:19:08Z</cp:lastPrinted>
  <dcterms:modified xsi:type="dcterms:W3CDTF">2018-02-07T09:19:20Z</dcterms:modified>
  <cp:revision>6</cp:revision>
  <dc:subject/>
  <dc:title/>
</cp:coreProperties>
</file>