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 sprawy: 20/ZP/2021                                                                                                                                                          Załącznik 2 a do SWZ</w:t>
      </w:r>
    </w:p>
    <w:tbl>
      <w:tblPr>
        <w:tblW w:w="14044" w:type="dxa"/>
        <w:jc w:val="left"/>
        <w:tblInd w:w="48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5"/>
        <w:gridCol w:w="5150"/>
        <w:gridCol w:w="1985"/>
        <w:gridCol w:w="4110"/>
        <w:gridCol w:w="2124"/>
      </w:tblGrid>
      <w:tr>
        <w:trPr>
          <w:tblHeader w:val="true"/>
          <w:trHeight w:val="204" w:hRule="atLeast"/>
        </w:trPr>
        <w:tc>
          <w:tcPr>
            <w:tcW w:w="67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150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Opis parametru</w:t>
            </w:r>
          </w:p>
        </w:tc>
        <w:tc>
          <w:tcPr>
            <w:tcW w:w="198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wymagana/graniczna</w:t>
            </w:r>
          </w:p>
        </w:tc>
        <w:tc>
          <w:tcPr>
            <w:tcW w:w="4110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oferowana</w:t>
            </w:r>
          </w:p>
        </w:tc>
        <w:tc>
          <w:tcPr>
            <w:tcW w:w="212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WYMAGANIA OGÓLNE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nowy wyprodukowany w 2021 roku, nieużywany, nierekondycjonowany, w najnowszej wersji sprzętowej i oprogramowania na dzień składania oferty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zarejestrowany jako wyrób medyczny i dopuszczony do obrotu na terenie Unii Europejskiej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Tomograf komputerowy wyposażony w co najmniej 64-rzędowy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detektor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przeznaczony do badań ogólnych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64</w:t>
              <w:br/>
              <w:t>[rzędy]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komputerowy całego ciała, umożliwiający uzyskanie co najmniej 128 submilimetrowych warstw badanego obszaru w czasie jednego pełnego obrotu układu lampa-detektor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128</w:t>
              <w:br/>
              <w:t>[warstwy]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44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umożliwiający wykonanie co najmniej:</w:t>
              <w:br/>
              <w:t>- badań klatki piersiowej, kręgosłupa, jamy brzusznej i miednicy wraz z wielofazowymi badaniami narządów tych obszarów anatomicznych,</w:t>
              <w:br/>
              <w:t>- badań kończyn górnych i dolnych</w:t>
              <w:br/>
              <w:t>- badań tomograficznych centralnego układu nerwowego</w:t>
              <w:br/>
              <w:t>- badań (perfuzji, angiografii): naczyń domózgowych, wewnątrzczaszkowych, naczyń obwodowych,</w:t>
              <w:br/>
              <w:t>- badań kardiologicznych np. CalciumScore</w:t>
              <w:br/>
              <w:t>- akwizycji submilimetrow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y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ch niewielkich struktur anatomicznych np. ucha środkowego</w:t>
              <w:br/>
              <w:t>- badań wielonarządowych w zakresie min. 160 cm</w:t>
              <w:br/>
              <w:t>- w/w badań w wariancie pediatrycznym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150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GANTRY I STÓŁ</w:t>
            </w:r>
          </w:p>
        </w:tc>
        <w:tc>
          <w:tcPr>
            <w:tcW w:w="1985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10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4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Średnica otworu gantry co najmniej 70 [cm]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70</w:t>
              <w:br/>
              <w:t>[cm]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Maksymalna dopuszczalna masa obciążająca stół (z zachowaniem deklarowanej precyzji pozycjonowania - podnoszenia i opuszczania oraz przesuwu stołu) co najmniej 220 [kg] w całym zakresie przesuwu stołu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220</w:t>
              <w:br/>
              <w:t>[kg]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220 kg - 0 pkt.</w:t>
              <w:br/>
              <w:t>221-250 kg - 5 pkt.</w:t>
              <w:br/>
              <w:t>Powyżej 250 kg - 10 pkt.</w:t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Konstrukcja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stołu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lub gantry wyposażone w przezierną dla generowanego promieniowania osłonę zapobiegające zalaniu gantry (w szczególności układu detektora, kolimatorów lub lampy) przez kontrast, sól fizjologiczną, płyny ustrojowe, które mogą wyciec podczas badania 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42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Wyposażenie stołu w:</w:t>
              <w:br/>
              <w:t>- materac,</w:t>
              <w:br/>
              <w:t>- podpórkę pod głowę pozbawioną elementów metalowych,</w:t>
              <w:br/>
              <w:t>- pasy lub listwy unieruchamiające/stabilizujące</w:t>
              <w:br/>
              <w:t>- osłona stołu chroniąca przed zalaniem płynami</w:t>
              <w:br/>
              <w:t>- podgłówek do pozycji na wznak</w:t>
              <w:br/>
              <w:t>- podpórki pod ramię, kolana lub nogi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Kamera do obserwacji zachowań pacjenta podczas ułożenia na stole aparatu, z funkcją zbliżenia widoku z możliwością podglądu ze stanowiska technika (konsola operatora)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Sterowanie ruchami stołu i gantry co najmniej z lewej i prawej strony gantry (od strony posadowienia stołu pacjenta)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Maksymalna prędkość przesuwu stołu co najmniej 150 [mm/s]. Podać również maksymalną wartość możliwą do uzyskania w trakcie klinicznego protokołu badania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 , podać wartości ≥ 150 [mm/s]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Tryb badań nagłych umożliwiający zaprogramowanie, wybór pacjenta i uruchomienie badania bezpośrednio z panelu na gantry.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NIE - 0 pkt.</w:t>
              <w:br/>
              <w:t>TAK - 5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pozycjonowanie pacjenta do określonej na gantry pozycji anatomicznej (min. 3 różne pozycje)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liczbę pozycji/NIE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26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fizycznego pochylenia gantry do badań w zakresie co najmniej ± 30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zakres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Skan spiralny lub sekwencyjny przy pochylonym gantry w zakresie ± 30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zakres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Zintegrowany interkom do komunikacji z pacjentem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GENERATOR, LAMPA ORAZ PARAMETRY SKANOWANIA</w:t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Liczba ognisk lampy rtg stosowanych w zaimplementowanych protokołach klinicznych nie mniejsza niż 2 z automatycznym wyborem ogniska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liczbę ≥ 2, podać rozmiary ognisk zgodnie z  IEC 60336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Odległość ogniska lampy od detektora nie większa niż 100 [cm]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100 [cm]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Szybkość chłodzenia anody lampy, nie mniej niż 1000 kHU/min [kHU/min]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 ≥ 1000 [kHU/min]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Poniżej 1500 kHU/min - 0 pkt.</w:t>
              <w:br/>
              <w:t>powyżej 1500 kHU/min - 5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Pojemność cieplna anody lampy rtg lub jej ekwiwalent w przypadku konstrukcji innej niż klasyczna nie mniej niż 7,0 MHU [MHU]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7 [MHU]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Maksymalna moc generatora (iloczyn klinicznie dostępnych kV i mA) nie mniejsza niż 72 [kW]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72  [kW]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Maksymalne napięcie lampy rtg używane w protokołach klinicznych, nie mniej niż 140 [kV]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140 [kV]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Minimalne napięcie lampy rtg używane w protokołach klinicznych, nie więcej niż 80 [kV]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80 [kV]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Ilość możliwych do zastosowania w klinicznych protokołach badań wartości napięcia anody nie mniejsza niż 4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dostępne klinicznie napięcia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 wartości napięć - 0 pkt.</w:t>
              <w:br/>
              <w:t>Powyżej 4 wartości - 5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Minimalny prąd lampy możliwy do zastosowania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protokołach klinicznych, nie większy niż 20 [mA]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[mA]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Maksymalny prąd lampy możliwy do zastosowania protokołach klinicznych, nie mniejszy niż 600 [mA]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[mA]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Modulacja prądu anody w czasie rzeczywistym, w danej projekcji (w zależności od badanej anatomii)- jednoczesna modulacja w trzech osiach x, y i z, bez konieczności wykonywania dodatkowych ekspozycji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Maksymalny zakres badania przy ciągłym skanie spiralnym/helikalnym (bez przemieszczania pacjenta względem stołu) co najmniej 160 [cm]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160 cm</w:t>
            </w:r>
          </w:p>
        </w:tc>
        <w:tc>
          <w:tcPr>
            <w:tcW w:w="41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160 cm - 0 pkt.</w:t>
              <w:br/>
              <w:t>161-200 - 5 pkt.</w:t>
              <w:br/>
              <w:t>Powyżej 200 cm - 10 pkt.</w:t>
            </w:r>
          </w:p>
        </w:tc>
      </w:tr>
      <w:tr>
        <w:trPr>
          <w:trHeight w:val="44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Minimalny czas pełnego skanu (obrót układu(ów) lampa detektor 360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) nie większy niż 0,35 [s] 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0,35 [s]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0,35s - 0 pkt.</w:t>
              <w:br/>
              <w:t>Poniżej 0,35s - 2 pkt.</w:t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Maksymalne, rekonstruowane pole obrazowania FOV nie mniejsze niż 50 [cm]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50 cm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rekonstrukcji pola obrazowania powyżej 50 cm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 podać [cm]/NIE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- 1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Matryca rekonstrukcyjna co najmniej 512 x 512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podac nie mniej niż 512x512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Matryca prezentacyjna co najmniej 1024 x 1024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Min. 1024x1024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Maksymalny zakres wykonywania dynamicznych badań perfuzji przy pojedynczym podaniu kontrastu dla oferowanej konfiguracji aparatu [mm] 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[mm], podać rozdzielczość czasową [s]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funkcja redukcji dawki promieniowania podczas badania (przy ekspozycji) o minimum 40%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funkcja redukcji dawki promieniowania podczas badania z zastosowaniem specjalnych iteracyjnych algorytmów rekonstrukcyjnych z danych surowych (raw-data) wraz z redukcją szumów - typu GE: ASiR; Siemens: SAFIRE, Philips iDose4 lub odpowiednio do nomenklatury producenta - redukcja dawki o co najmniej 60% względem standardowej metody rekonstrukcji projekcji wstecznej FBP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Zaimplementowane rozwiązanie do redukcji promieniowania jonizującego, dedykowane do zwiększenia ochrony w trakcie badania szczególnie wrażliwych narządów np. oczu, tarczycy, piersi, itp. 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Dynamiczny kolimator ograniczający promieniowanie w osi Z na początku i końcu skanu spiralnego pozwalający uniknąć niepotrzebnego naświetlania pacjenta podczas skanu spiralnego.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Zaimplementowane rozwiązanie umożliwiające odcięcie promieniowania o niższych energiach ograniczające dawkę i zapewniające optymalną jakość obrazu na granicy ośrodków tkanki miękkiej i powietrza w celu wykonywania badań przesiewowych w obrazowaniu płuc i jelita grubego.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- 5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Maksymalny diagnostyczny (stosowany klinicznie) skok spirali (pitch) nie mniejszy niż 1,5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wartość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możliwość wykonania badania w technice dwuenergetycznej  (np. 2 skany o 2 różnych energiach lub dwie energie podczas jednego skanu)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oferowanej technologii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Minimalna rozdzielczość przestrzenna (izotropowa) dla trybu skanowania submilimetrowego nie mniejsza niż 0,33 [mm]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0,33 mm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0,33 mm - 0 pkt.</w:t>
              <w:br/>
              <w:t>Poniżej 0,33 - 1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Grubość najcieńszej dostępnej warstwy w akwizycji wielowarstwowej z akwizycją min. 64 warstw [mm]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0,65 mm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Rozdzielczość wysokokontrastowa w płaszczyźnie x,y, mierzona w polu akwizycyjnym FOV=50 cm w punkcie 50% charakterystyki MTF co najmniej 10 [pl/cm]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10,0 pl/cm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Algorytm ostrzegający operatora o wykryciu podczas topogramu obecności niepożądanych elementów metalowych (np. : pasków, biżuterii, łańcuszków, okularów, itd.) przed przystąpieniem do dalszej części badania spiralnego lub sekwencyjnego.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KONSOLA OPERATORA</w:t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Konsola wyposażona w co najmniej 2 monitory kolorowe (aktywna matryca LCD lub LED), o przeznaczeniu do urządzeń medycznych (zgodne ze standardem DICOM i spełniające odpowiednie, obowiązujące w Polsce przepisy prawne), posiadające przekątną ekranu co najmniej 19" ["]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["]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przekątna 19-20" - 0 pkt.</w:t>
              <w:br/>
              <w:t>powyżej 20" - 3 pkt.</w:t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Komputer konsoli operatora dostosowany sprzętowo i wydajnościowo do danych generowanych przez oferowany aparat oraz oferowanych aplikacji i rozwiązań - realizacji wymaganych funkcjonalności (w tym szybki dysk twardy, karta graficzna/akcelerator 3D dedykowany do pracy z monitorami, karta sieciowa ethernet 1Gbit/s, co najmniej 8GB RAM, co najmniej 1 procesor wielordzeniowy o odpowiednim taktowaniu i architekturze)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Pojemność dysku twardego dla obrazów bez kompresji (512x512), wyrażona liczbą obrazów co najmniej 250000 [liczba]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liczbę ≥ 250000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63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Przeglądarka wyników badań oraz oprogramowanie do opracowania badań, z użyciem takich technik obrazowania/rekonstrukcji jak:</w:t>
              <w:br/>
              <w:t>- MPR (Multiplanar Reformated Reconstruction) co najmniej ortogonalne, wzdłuż dowolnej prostej (równoległe lub promieniste) i po krzywej, w tym z danych zbieranych przy dowolnym kącie pochylenia gantry</w:t>
              <w:br/>
              <w:t>- MIP (Maximum Intensity Projection),</w:t>
              <w:br/>
              <w:t>- 3D SSD (Shaded Surface Display),</w:t>
              <w:br/>
              <w:t>- 3D VRT (Volume Rendering Technique),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Prezentacje cine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Archiwizacja badań pacjentów na CD-R i DVD w standardzie DICOM 3.0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Dwukierunkowy interkom do komunikacji głosowej z pacjentem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Komunikaty głosowe dla pacjenta w języku polskim z możliwością nagrywania własnych i dołączania do protokołów badania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usuwania/redukcji artefaktów pochodzących od obiektów metalowych typu O-MAR, Smart MAR, iMAR (stosownie do nomenklatury producenta) w tym z zastosowanie do obrazowania pacjentów z metalowymi implantami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akwizycji i rekonstrukcji badań CT wyzwalanych bramką EKG w badaniach zwapnień naczyń wieńcowych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archiwizacji wybranych badań na nośniku CD/DVD w formacie DICOM 3.0 wraz z DICOMDIR oraz z przeglądarką badań (możliwość uruchomienia co najmniej na standardowym komputerze PC z systemem Windows 7 lub nowszym), w tym możliwość archiwizacji sekwencji animowanych/CINE w formacie DICOM 3.0 lub AVI (w tym skompresowane)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24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Komunikacja sieciowa (Ethernet) zgodnie z protokołem DICOM 3.0 z obsługą co najmniej:</w:t>
              <w:br/>
              <w:t>- DICOM 3.0 - SEND/RECEIVE</w:t>
              <w:br/>
              <w:t>- DICOM 3.0 - QUERY/RETRIEVE</w:t>
              <w:br/>
              <w:t>- DICOM 3.0 - DICOM PRINT</w:t>
              <w:br/>
              <w:t>- DICOM 3.0 - Storage Commitment</w:t>
              <w:br/>
              <w:t>- DICOM 3.0 - Modality WORKLIST</w:t>
              <w:br/>
              <w:t>- DICOM 3.0 - Structured Dose Report</w:t>
              <w:br/>
              <w:t>(do dokumentacji przetargowej dołączyć DICOM CONFORMANCE STATEMENT potwierdzający spełnienie w/w wymagań - dopuszczalna wersja elektroniczna PL lub ANG)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uruchomienia DICOM MPPS dla poszczególnych węzłów DICOM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samodzielnego (przez uprawnionego użytkownika z personelu Zamawiającego) konfigurowania/zarządzania węzłami DICOM w razie potrzeby nie w ramach usługi serwisowej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Akwizycja dwuenergetyczna/spektralna umożliwiająca uzyskanie dwóch zestawów danych obrazowych badanej anatomii dla dwóch różnych energii promieniowania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Algorytmy sztucznej inteligencji umożliwiający automatyczny dobór protokołów badania w oparciu o komunikacje z obsługą tomografu w postaci indywidualnej charakterystyki pacjenta, dobierające optymalną kombinację parametrów akwizycji, rekonstrukcji i czasu badania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Automatyczna rekonstrukcja obrazu struktury kostnej, z rozłożeniem obrazu żeber na płaszczyźnie, w badaniach klatki piersiowej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Automatyczne, bez udziału operatora, ustawianie nachylenia płaszczyzn rekonstrukcji obrazu kręgów i numerowanie kręgów kręgosłupa w badaniach odcinkowych jak i całego kręgosłup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183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funkcjonalność wykonywania testów kontroli jakości oraz podstawowych testów eksploatacyjnych aparatu CT przez użytkownika (zgodnie z wytycznymi producenta oraz z obowiązującymi w Polsce przepisami prawa, w szczególności z "Rozporządzeniem Ministra Zdrowia z dnia 18 lutego 2011 r. w sprawie warunków bezpiecznego stosowania promieniowania jonizującego dla wszystkich rodzajów ekspozycji medycznej" Dz.U. 2011 nr 51 poz. 265 wraz z późniejszymi zmianami, tekst jednolity Dz.U. 2017 poz. 884 ) - zaimplementowane odp. protokoły badania do realizacji opisanych powyżej czynności kontrolnych i testowych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- 5 pkt.</w:t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STACJA LEKARSKA - OPISOWA (Stanowisko do opisu CT)</w:t>
            </w:r>
          </w:p>
        </w:tc>
      </w:tr>
      <w:tr>
        <w:trPr>
          <w:trHeight w:val="289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 stacja diagnostyczna CT: min. 2 sztuki nowych, diagnostycznych monitorów medycznych kolorowych typu LCD/LED, o przekątnej min. 21" ["] i rozdzielczości nie mniejszej niż 2MPx każdy lub 1 nowy, wielkoformatowy diagnostyczny monitor medyczny o przekątnej min. 30" ["] i rozdzielczości nie mniejszej niż 4Mpx oraz jasności min. 200cd/m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, kontraście co najmniej 250/1, wyświetlające obraz w 10-bitowej głębi (30bit RGB) na złączu DisplayPort wyświetlające obraz zgodny z GSDF (odchylenie względnego kontrastu wyznaczonego dla poszczególnych obrazów testowych AAPM TG18-LN względem względnego kontrastu wynikającego z funkcji GSDF nie więcej niż 5% różnicy). . Oferowane monitory muszą spełniać wymogi dla stanowiska opisowego do tomografii komputerowej określone w załączniku nr 1 w Rozporządzeniu Ministra Zdrowia z dnia 18 lutego 2011 Dz.U. 2011 nr 51 poz. 265 z późn. zmianami (tekst jednolity Dz.U. 2017 nr 0 poz. 884). Wykonawca dostarczy wszelkie wymagane przepisami prawa dokumenty dotyczące monitorów w związku z ich przeznaczeniem.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 monitor biurowy LCD/LED dla każdej oferowanej stacji diagnostycznej o rozdzielczości co najmniej 1920x1080 i przekątnej ekranu nie mniejszej niż 23" do podłączenia do oferowanej konsoli opisowej (do obsługi HIS/RIS). Dostawca zapewnia stosowną konfigurację komputera w tym dodatkowe adaptery do podłączenia oferowanego monitora biurowego do karty graficznej (lub kart graficznych)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83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Zainstalowana i skonfigurowana karta graficzna, dedykowana do zastosowań profesjonalnych (GPU linii nVidia Quadro lub AMD FirePro), w tym medycznych, pozwalająca na wyświetlenie obrazu diagnostycznego na oferowanych monitorach diagnostycznych w 10-bitowej skali szarości (30-bit RGB) spełniająca wymogi dla stanowisk opisowych w tomografii komputerowej określone w załączniku nr 1  w Rozporządzeniu Ministra Zdrowia z dnia 18 lutego 2011 Dz.U. 2011 nr 51 poz. 265 z późn. zmianami (tekst jednolity Dz.U. 2017 nr 0 poz. 884). Preferowana karta producenta monitorów, w konfiguracji oferowanej stacji takiej, aby móc podłączyć wszystkie oferowane w zestawie monitory (diagnostyczny/e i biurowy).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Komputer klasy PC z systemem operacyjnym MS Windows 10 Pro (lub nowszym) 64 bit, dostosowany sprzętowo i wydajnościowo do oferowanych aplikacji klinicznych z dyskiem twardym typu SSD min. 500GB (1 lub więcej, w tym ew. w macierzy RAID), procesor 4-rdzeniowy (4 rdzenie fizyczne) klasy Intel Core i5, i7, i9 lub Xeon, co najmniej 16 GB RAM, klawiaturą i myszką, karta sieciowa ethernet 1Gb/s, napęd optyczny DVD+/-RW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Oprogramowanie dodatkowe biurowe MS Office 2016 H&amp;B 64bit lub nowsze 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Komputer z zainstalowanym oprogramowaniem diagnostycznym lekarskiej stacji opisowej (wolnostojąca stacja diagnostyczna) oraz oprogramowaniem dodatkowym gotowe do pracy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Aplikacja diagnostyczna (stand alone/desktop) umożliwia wyświetlanie obrazów DICOM w 10-bitowej skali szarości (lub 30-bitowej głębi koloru) na oferowanych monitorach medycznych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diagnostyczne zarejestrowane jako wyrób medyczny w klasie IIb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zainstalowania oprogramowania szpitalnego m.in. do obsługi HIS/RIS, w szczególności do wykonywania opisów badań.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archiwizacji wybranych badań na nośniku CD/DVD lub USB w formacie DICOM 3.0 wraz z DICOMDIR oraz z przeglądarką badań (możliwość uruchomienia co najmniej na standardowym komputerze PC z systemem Windows 7 lub nowszym), w tym możliwość archiwizacji sekwencji animowanych/CINE w formacie DICOM 3.0 lub AVI (w tym skompresowane)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Komunikacja sieciowa (Ethernet) zgodnie z protokołem DICOM 3.0 z obsługą co najmniej:</w:t>
              <w:br/>
              <w:t>- DICOM 3.0 - SEND/RECEIVE</w:t>
              <w:br/>
              <w:t>- DICOM 3.0 - QUERY/RETRIEVE</w:t>
              <w:br/>
              <w:t>- DICOM 3.0 - DICOM PRINT</w:t>
              <w:br/>
              <w:t>- DICOM 3.0 - Storage Commitment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przechowujące lokalnie dane obrazowe i bazę danych wykonanych badań/pacjentów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uzyskania dostępu do danych zapisanych w formacie DICOM na dysku lokalnym lub nośnikach CD/DVD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83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Przeglądarka wyników badań oraz oprogramowanie do opracowania badań, z użyciem takich technik obrazowania/rekonstrukcji jak:</w:t>
              <w:br/>
              <w:t>- MPR (Multiplanar Reformated Reconstruction) co najmniej ortogonalne, wzdłuż dowolnej prostej (równoległe lub promieniste) i po krzywej, w tym z danych zbieranych przy dowolnym kącie pochylenia gantry</w:t>
              <w:br/>
              <w:t>- MIP (Maximum Intensity Projection),</w:t>
              <w:br/>
              <w:t>- 3D SSD (Shaded Surface Display),</w:t>
              <w:br/>
              <w:t>- 3D VRT (Volume Rendering Technique),</w:t>
              <w:br/>
              <w:t>- MiniIP (Minimum Intensity Projection).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Predefiniowana paleta ustawień dla rekonstrukcji VRT uwzględniająca typy badań, obszary anatomiczne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analityczne (pomiar poziomu gęstości, profile gęstości, histogramy, analiza skanu dynamicznego).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2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Funkcjonalność przywrócenia obrazu po dokonaniu przekształceń do pierwotnej wersji.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oraz wsparcie dla trybu pełnoekranowego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System pozwala wyświetlać jednocześnie co najmniej 2 rodzaje badań tego samego pacjenta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badań DICOM Enhanced w kliku trybach widoku (matrix, stack, all)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Prezentacje Cine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usuwania obrazu stołu z obrazów CT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pobrania danych pacjenta z serwera PACS w tle i ponownego ładowania wyświetlanych obrazów.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Możliwość wyszukiwania i pobrania określonych danych obrazu pacjenta na podstawie różnych atrybutów, min: nazwisko, numer badania, identyfikator pacjenta, modalność, 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wyszukiwania i pobrania wcześniejszych badań pacjenta z serwera PACS zgodnie z wcześniej zdefiniowanym filtrem czasowym.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drukarek DICOM wraz z narzędziami do konfiguracji obrazu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anonimizacji danych pacjenta, min:</w:t>
              <w:br/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Eksport obrazów do standardowych formatów MS Windows, co najmniej: jpg, bmp, tif, dcm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Eksport obrazów do pliku video co najmniej w formacie avi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profili użytkowników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stosowania bezpiecznych podpisów elektronicznych do podpisywania wybranych zdjęć / całych badań / raportów medycznych.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Intuicyjny interfejs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wyboru schematu kolorów interfejsu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wyboru wielkości czcionek w interfejsie użytkownika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przypisania akcji do klawiszy myszy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korzystania z szyfrowanego transferu danych (TLS), w tym bezpiecznych certyfikatów elektronicznych.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Fuzja obrazów (różne modalności):</w:t>
              <w:br/>
              <w:t>- Automatyczna fuzja 3D obrazów scyntygraficznych/SPECT, CT, PET, MR (co najmniej 2 modalności)</w:t>
              <w:br/>
              <w:t>- Manualna fuzja obrazów scyntygraficznych/SPECT, CT, PET, MR (co najmniej 2 modalności)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wirtualnej endoskopii umożliwiające wizualizację dróg oddechowych, jelit oraz struktur wypełnionych płynem.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zmiany chorobowej zgodnie z WHO.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umożliwiające ocenę obrazów pochodzących z akwizycji dwuenergetycznej z możliwością dopasowania wybranej energii.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numerowanie kręgów kręgosłupa w badaniach odcinkowych jak i całego kręgosłupa z obrazów CT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– 2 pkt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numerowanie żeber w badaniach CT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– 2 pkt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Automatyczna rekonstrukcja płaszczyznowa kręgosłupa po krzywej (Curved Planar Reconstructions, CPR) 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– 1 pkt</w:t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Oprogramowanie, w tym typu CAD (computer Aided Detection/Diagnosis) do obrazowania i diagnostyki płuc:</w:t>
              <w:br/>
              <w:t>- automatyczna detekcja zmian guzkowych w miąższu płuc i podopłucnowych typu CAD,</w:t>
              <w:br/>
              <w:t>- narzędzie do segmentacji guzków płuc z segmentacją litych i półlitych zmian wraz z podaniem objętości i średnicy zgodnie z wytycznymi LungRADS.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analizy badań naczyniowych, do automatycznego usuwania kości i wizualizacja struktury naczyniowej w obrębie głowy i szyi metodą porównawczą typu DSA, na bazie dwóch zestawów danych obrazowych, przed i po podaniu środka kontrastowego.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Ocena badań kardiologicznych w CT z możliwością:</w:t>
              <w:br/>
              <w:t>- wyodrębnienia serca i naczyń wieńcowych jednym przyciskiem.</w:t>
              <w:br/>
              <w:t>- analizy naczyń wieńcowych z oceną zwężeń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– 2 pkt</w:t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samodzielnego (przez uprawnionego użytkownika z personelu Zamawiającego) konfigurowania/zarządzania węzłami DICOM w razie potrzeby nie w ramach usługi serwisowej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- 1</w:t>
            </w:r>
            <w:bookmarkStart w:id="0" w:name="_GoBack"/>
            <w:bookmarkEnd w:id="0"/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pkt.</w:t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Automatyczny wstrzykiwacz kontrastu</w:t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51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Automatyczny, dwugłowicowy wstrzykiwacz do podawania środka kontrastowego i soli fizjologicznej w badaniach CT, wraz z osprzętem i sterowaniem umożliwiającym wykonanie badania ze zdalnym podaniem środka kontrastowego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pracy z materiałami zużywalnymi o certyfikowanej sterylności przez 12 lub 24h niezależnie od ilości wykonanych iniekcji oraz zużytego środka kontrastowego czy NaCl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51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Wstrzykiwacz zintegrowany z tomografem - automatyczna synchronizacja ze skanowaniem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Konsola sterująca wyposażona w kolorowy panel dotykowy – interfejs w języku polskim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pobierania środka cieniującego i roztworu NaCl bezpośrednio z oryginalnych opakowań różnych producentów środków cieniujących, bez konieczności przelewania do specjalistycznych wkładów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5150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Monitory dodatkowe monitory przeglądowe</w:t>
            </w:r>
          </w:p>
        </w:tc>
        <w:tc>
          <w:tcPr>
            <w:tcW w:w="1985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10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4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 nowe monitory medyczne, kolorowe typu LCD/LED o 30-bitowej głębi kolorów (10-bitowej skali szarości), przekątnej min. 24" ["] i rozdzielczości 1920x1200 każdy, rozmiarze pixela 0,270 mm x 0,270mm, skalibrowane do krzywej GSDF, zgodne ze standardem DICOM Part 14, ze złączem DisplayPort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Czarny kolor obudowy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Oferowane monitory muszą spełniać wymogi co najmniej dla stanowiska przeglądowego do tomografii komputerowej określone w załączniku nr 1 w Rozporządzeniu Ministra Zdrowia z dnia 18 lutego 2011 Dz.U. 2011 nr 51 poz. 265 z późn. zmianami (tekst jednolity Dz.U. 2017 nr 0 poz. 884) do prezentacji m.in. obrazów CT dla lekarzy klinicystów. Wykonawca dostarczy wszelkie wymagane przepisami prawa dokumenty dotyczące monitorów w związku z ich przeznaczeniem.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SZKOLENIA</w:t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Szkolenie lekarzy i techników w siedzibie Zamawiającego, bezpośrednio po uruchomieniu przedmiotu oferty w wymiarze co najmniej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dni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roboczych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x 6h roboczych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Szkolenie zaawansowane personelu lekarskiego i techników w siedzibie Zamawiającego przez okres min. 5 dni roboczych x 6h w terminie uzgodnionym z Zamawiającym,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 okresie max dwóch miesięcy od daty odbioru aparatu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Każdy z uczestników szkolenia otrzyma zaświadczenie / certyfikat potwierdzające kwalifikację do obsługi urządzenia. 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GWARANCJA I SERWIS</w:t>
            </w:r>
          </w:p>
        </w:tc>
      </w:tr>
      <w:tr>
        <w:trPr>
          <w:trHeight w:val="25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Okres pełnej gwarancji oferowanego tomografu od dnia podpisania protokołu zdawczo odbiorczego. Gwarancja bezwarunkowa, bez limitu skanów i innych ograniczeń (np. wyłączeń lampy RTG), co najmniej 24 [miesiące]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[miesiące]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Autoryzowany serwis gwarancyjny i wykonywanie serwisu urządzenia na terenie Polski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Min. 10 - letni okres gwarantowania dostępności części zamiennych dla TK (wchodzących w skład oferowanego tomografu) oraz min. 5 – letni dla pozostałych urządzeń (np. stacje robocze, monitory diagnostyczne lub przeglądowe do CT)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Wszystkie wymagane przez producenta oferowanego aparatu przeglądy w okresie gwarancji (podać ile ) – zawarte w cenie oferty 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urządzeniem dostarczone:  zalecenia producenta co do częstotliwości wykonywania przeglądów oraz zakres czynności serwisowych wykonywanych w czasie przeglądów.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Czas skutecznej naprawy bez użycia części zamiennych licząc od momentu zgłoszenia awarii - nie dłużej niż 5 dni roboczych rozumianych jako dni od pn do sob, z wyłączeniem dni ustawowo wolnych od pracy [dni]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5 [dni]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Czas skutecznej naprawy z użyciem części zamiennych licząc od momentu zgłoszenia awarii - max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dni roboczych rozumiane jako dni od pn do sob, z wyłączeniem dni ustawowo wolnych od pracy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8 [dni]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Czas reakcji serwisu od zgłoszenia do podjęcia naprawy [godziny w dni robocze :od poniedziałku do piątku z wyłączeniem dni ustawowo wolnych pracy] nie dłużej niż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48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[h]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podać ≤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48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[h]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Wykonanie testów akceptacyjnych i specjalistycznych po zainstalowaniu urządzenia – oraz każdorazowej naprawie (np. wymiana lampy) wymagającej ich wykonania- zawarte w cenie oferty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13369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</w:tr>
      <w:tr>
        <w:trPr>
          <w:trHeight w:val="122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tomografem, w cenie oferty, Wykonawca dostarczy zestaw firmowych fantomów serwisowych do kalibracji, oraz fantom/fantomy do wykonania wszystkich wymaganych testów podstawowych zawartych w załączniku nr 6 Rozporządzenia Ministra Zdrowia z dnia 18 lutego 2011 r. w sprawie warunków bezpiecznego stosowania promieniowania jonizującego dla wszystkich rodzajów ekspozycji medycznej (t. jedn. Dz. U. z 2017 r., poz. 884).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tomografem, w cenie oferty, Wykonawca dostarczy 2 fartuchy ochronne o współczynniku Pb 0,25 mm, koc ochronny z gumy ołowiowej 0,25mmPb, osłony na tarczycę 0,5mm (rozmiar L i M), osłony na jajniki 1 mm PB (L i M) oraz osłony na gonady męskie 1mm Pb (komplet)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326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z bezterminowymi licencjami do monitorowania i raportowania poziomu dawek z tomografu komputerowego oraz obecnie posiadanego cyfrowego systemu RTG pozwalające na spełnienie dyrektywy EUROATOM 2013/59 z 5 grudnia 2013 roku.</w:t>
              <w:br/>
              <w:t>Oprogramowanie ma umożliwiać:</w:t>
              <w:br/>
              <w:t>- analizę statystyczna poziomu dawek</w:t>
              <w:br/>
              <w:t>- automatyczne powiadamianie w przypadku przekroczenia poziomu dopuszczalnych dawek</w:t>
              <w:br/>
              <w:t>- przeglądanie historii dawki w rozbiciu na: pacjentów/regiony anatomiczne/rodzaje badań RTG/osobę przeprowadzającą badanie/zmiany pracy zespołu pracowni TK i RTG (np. poranna, popołudniowa, wieczorna itd.)</w:t>
              <w:br/>
              <w:t>- automatyczne tygodniowe/miesięczne/roczne raporty dotyczące dawek w pracowni z danych zebranych z tomografu komputerowego i systemu RTG z porównaniem tych danych dla określonej populacji</w:t>
              <w:br/>
              <w:t>- wyliczenie SSDE (ang. Size-SpecificDoseEstimate — szacowana wielkość dawki zależna od rozmiaru dla każdej serii badania.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i producenta/NIE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- 10 pkt.</w:t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</w:rPr>
              <w:t>Oprogramowanie do optymalizacji zużycia kontrastu w TK pobierające rzeczywiste dane odnośnie ilości wstrzykniętego kontrastu podczas badania. Oprogramowanie ma umożliwiać tworzenie raportów i zestawień zużycia kontrastu oraz informacji o skumulowanej dawce jodu dla danego pacjenta.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i producenta/NIE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102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</w:rPr>
              <w:t>Oprogramowanie do automatycznego wyliczania, po zakończeniu badania, dawki płodu lub zarodka w przypadku badania kobiety w ciąży zgodnie z Rozporządzeniem Ministra Zdrowia z dnia 18 lutego 2011 r. w sprawie bezpiecznego stosowania promieniowania jonizującego dla wszystkich rodzajów ekspozycji medycznej (Dz. U. Nr51 Poz. 265)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i producenta/NIE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</w:rPr>
              <w:t>Wraz z tomografem, w cenie oferty, dostawa i montaż wstrzykiwacza kontrastu wg  wymagań w części F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Instrukcja obsługi aparatu TK w formie elektronicznej i papierowej oraz instrukcje obsługi urządzeń wyposażenia w języku polskim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przy dostawie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Wykonanie lub przygotowanie (jeśli do chwili odbioru nie będzie możliwości konfiguracji) po stronie aparatu oraz konsoli lekarskiej do integracji z posiadanym systemem PACS (licencja PACS oraz integracja zapewniona już w postępowaniu na zakup systemu PACS)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Moc podłączeniowa [kVA]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[kVA]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Ilość ciepła emitowana do pomieszczenia badań w trakcie skanowania [kW]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[kW]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Zakres temperatur pracy systemu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C] 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C]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51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 okresie gwarancji w cenie oferty przewidziane wszelkie aktualizacje i Upgrade oprogramowania do najnowszej wersji. Czynności będą wykonywane przy najbliższym przeglądzie serwisowym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51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Instalacja przedmiotu oferty w pomieszczeniach wskazanych przez Zamawiającego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51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Wykonanie projektu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i wykonanie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 ochrony radiologicznej 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 stronie Wykonawcy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orient="landscape" w:w="16838" w:h="11906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458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458c0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nt5" w:customStyle="1">
    <w:name w:val="font5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6"/>
      <w:szCs w:val="16"/>
      <w:lang w:eastAsia="pl-PL"/>
    </w:rPr>
  </w:style>
  <w:style w:type="paragraph" w:styleId="Font6" w:customStyle="1">
    <w:name w:val="font6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6"/>
      <w:szCs w:val="16"/>
      <w:lang w:eastAsia="pl-PL"/>
    </w:rPr>
  </w:style>
  <w:style w:type="paragraph" w:styleId="Font7" w:customStyle="1">
    <w:name w:val="font7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6"/>
      <w:szCs w:val="16"/>
      <w:lang w:eastAsia="pl-PL"/>
    </w:rPr>
  </w:style>
  <w:style w:type="paragraph" w:styleId="Font8" w:customStyle="1">
    <w:name w:val="font8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9"/>
      <w:szCs w:val="19"/>
      <w:lang w:eastAsia="pl-PL"/>
    </w:rPr>
  </w:style>
  <w:style w:type="paragraph" w:styleId="Xl64" w:customStyle="1">
    <w:name w:val="xl64"/>
    <w:basedOn w:val="Normal"/>
    <w:qFormat/>
    <w:rsid w:val="00d458c0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65" w:customStyle="1">
    <w:name w:val="xl65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66" w:customStyle="1">
    <w:name w:val="xl66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67" w:customStyle="1">
    <w:name w:val="xl67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68" w:customStyle="1">
    <w:name w:val="xl68"/>
    <w:basedOn w:val="Normal"/>
    <w:qFormat/>
    <w:rsid w:val="00d458c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69" w:customStyle="1">
    <w:name w:val="xl69"/>
    <w:basedOn w:val="Normal"/>
    <w:qFormat/>
    <w:rsid w:val="00d458c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0" w:customStyle="1">
    <w:name w:val="xl70"/>
    <w:basedOn w:val="Normal"/>
    <w:qFormat/>
    <w:rsid w:val="00d458c0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1" w:customStyle="1">
    <w:name w:val="xl71"/>
    <w:basedOn w:val="Normal"/>
    <w:qFormat/>
    <w:rsid w:val="00d458c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2" w:customStyle="1">
    <w:name w:val="xl72"/>
    <w:basedOn w:val="Normal"/>
    <w:qFormat/>
    <w:rsid w:val="00d458c0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3" w:customStyle="1">
    <w:name w:val="xl73"/>
    <w:basedOn w:val="Normal"/>
    <w:qFormat/>
    <w:rsid w:val="00d458c0"/>
    <w:pPr>
      <w:shd w:val="clear" w:color="000000" w:fill="D9D9D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4" w:customStyle="1">
    <w:name w:val="xl74"/>
    <w:basedOn w:val="Normal"/>
    <w:qFormat/>
    <w:rsid w:val="00d458c0"/>
    <w:pPr>
      <w:shd w:val="clear" w:color="000000" w:fill="D9D9D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5" w:customStyle="1">
    <w:name w:val="xl75"/>
    <w:basedOn w:val="Normal"/>
    <w:qFormat/>
    <w:rsid w:val="00d458c0"/>
    <w:pPr>
      <w:shd w:val="clear" w:color="000000" w:fill="D9D9D9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6" w:customStyle="1">
    <w:name w:val="xl76"/>
    <w:basedOn w:val="Normal"/>
    <w:qFormat/>
    <w:rsid w:val="00d458c0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7" w:customStyle="1">
    <w:name w:val="xl77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8" w:customStyle="1">
    <w:name w:val="xl78"/>
    <w:basedOn w:val="Normal"/>
    <w:qFormat/>
    <w:rsid w:val="00d458c0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9" w:customStyle="1">
    <w:name w:val="xl79"/>
    <w:basedOn w:val="Normal"/>
    <w:qFormat/>
    <w:rsid w:val="00d458c0"/>
    <w:pP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80" w:customStyle="1">
    <w:name w:val="xl80"/>
    <w:basedOn w:val="Normal"/>
    <w:qFormat/>
    <w:rsid w:val="00d458c0"/>
    <w:pPr>
      <w:shd w:val="clear" w:color="000000" w:fill="D9D9D9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81" w:customStyle="1">
    <w:name w:val="xl81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82" w:customStyle="1">
    <w:name w:val="xl82"/>
    <w:basedOn w:val="Normal"/>
    <w:qFormat/>
    <w:rsid w:val="00d458c0"/>
    <w:pPr>
      <w:shd w:val="clear" w:color="000000" w:fill="D9D9D9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83" w:customStyle="1">
    <w:name w:val="xl83"/>
    <w:basedOn w:val="Normal"/>
    <w:qFormat/>
    <w:rsid w:val="00d458c0"/>
    <w:pPr>
      <w:shd w:val="clear" w:color="000000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LibreOffice/5.2.1.2$Windows_x86 LibreOffice_project/31dd62db80d4e60af04904455ec9c9219178d620</Application>
  <Pages>18</Pages>
  <Words>4302</Words>
  <Characters>26153</Characters>
  <CharactersWithSpaces>30131</CharactersWithSpaces>
  <Paragraphs>524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2021-08-12T01:24:00Z</dcterms:created>
  <dc:creator/>
  <dc:description/>
  <dc:language>pl-PL</dc:language>
  <cp:lastModifiedBy/>
  <dcterms:modified xsi:type="dcterms:W3CDTF">2021-08-12T07:52:40Z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