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spacing w:lineRule="atLeast" w:line="100"/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cs="Arial"/>
          <w:b w:val="false"/>
          <w:bCs w:val="false"/>
          <w:sz w:val="22"/>
          <w:szCs w:val="22"/>
        </w:rPr>
        <w:t xml:space="preserve">Oznaczenie sprawy: 05/2021                                                                    Załącznik Nr 2 do Zaproszenia </w:t>
      </w:r>
    </w:p>
    <w:p>
      <w:pPr>
        <w:pStyle w:val="Normal"/>
        <w:jc w:val="center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PROJEKT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UMOWA NR ….......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___________________________________________________________________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/>
      </w:pPr>
      <w:r>
        <w:rPr>
          <w:rFonts w:cs="Arial"/>
          <w:b/>
          <w:bCs/>
          <w:sz w:val="22"/>
          <w:szCs w:val="22"/>
        </w:rPr>
        <w:t>na świadczenie usług przewozu zwłok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zawarta w Proszowicach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dnia ….....................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pomiędzy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Samodzielnym Publicznym Zespołem Opieki Zdrowotnej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 Proszowicach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oraz -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</w:t>
      </w:r>
      <w:r>
        <w:rPr>
          <w:rFonts w:cs="Arial"/>
          <w:b/>
          <w:bCs/>
          <w:sz w:val="22"/>
          <w:szCs w:val="22"/>
        </w:rPr>
        <w:t>............................................................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Niniejsza umowa zawarta została dnia …................roku pomiędzy:             </w:t>
      </w:r>
    </w:p>
    <w:p>
      <w:pPr>
        <w:pStyle w:val="Ty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                           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Samodzielnym Publicznym Zespołem Opieki Zdrowotnej w Proszowicach, z siedzibą w 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NIP: 682-14-36-049, REGON: 000300593 zwanym Zleceniodawcą, który reprezentuje: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Dyrektor SP ZOZ w Proszowicach – Łukasz Szafrański </w:t>
      </w:r>
    </w:p>
    <w:p>
      <w:pPr>
        <w:pStyle w:val="Normal"/>
        <w:tabs>
          <w:tab w:val="left" w:pos="810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zwanym dalej „Zleceniobiorcą”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zgodnie postanawiają co następuje: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Definicje.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niniejszej Umowie poniższym określeniom pisanym z dużej litery będą przypisane następujące znaczenia określone poniżej:</w:t>
      </w:r>
    </w:p>
    <w:p>
      <w:pPr>
        <w:pStyle w:val="Normal"/>
        <w:ind w:left="68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oznacza niniejszą umowę.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oznacza Samodzielny Publiczny Zespół Opieki Zdrowotnej            w Proszowicach.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oznacza ….............................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oznaczą Zleceniodawcę i Zleceniobiorcę.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Zwłoki za zwłoki uważa się ciała osób zmarłych i dzieci martwo urodzonych, bez względu na czas trwania ciąży oraz szczątki ludzkie.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Pracownia Patomorfologii oznacza pracownię prowadzoną przez Szpital im. Jana Pawła II w Krakowie lub w wyjątkowych okolicznościach także przez inny zakład opieki zdrowotnej na terenie województwa małopolskiego.  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Zakład Medycyny Sądowej oznacza 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Zakład Medycyny Sądowej w Krakowie, ul. Grzegórzecka 16.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Okres Rozliczeniowy oznacza jeden miesiąc kalendarzowy, w którym wykonywana jest Umowa.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Wynagrodzenie oznacza określone zgodnie z postanowieniem ustępu</w:t>
        <w:br/>
        <w:t>8 Umowy, wynagrodzenie należne Zleceniobiorcy w Okresie Rozliczeniowym.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Przedmiot Umowy.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before="0" w:after="120"/>
        <w:ind w:left="1191" w:right="0" w:hanging="680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Na podstawie niniejszej umowy Zleceniodawca zleca a Zleceniobiorca przyjmuje do wykonania w ramach prowadzonego przedsiębiorstwa usługę polegającą na świadczeniu kompleksowych czynności związanych z odbiorem i transportem Zwłok:</w:t>
      </w:r>
    </w:p>
    <w:p>
      <w:pPr>
        <w:pStyle w:val="Normal"/>
        <w:numPr>
          <w:ilvl w:val="0"/>
          <w:numId w:val="4"/>
        </w:numPr>
        <w:tabs>
          <w:tab w:val="right" w:pos="8820" w:leader="dot"/>
        </w:tabs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30;</w:t>
      </w:r>
    </w:p>
    <w:p>
      <w:pPr>
        <w:pStyle w:val="Normal"/>
        <w:numPr>
          <w:ilvl w:val="0"/>
          <w:numId w:val="4"/>
        </w:numPr>
        <w:tabs>
          <w:tab w:val="right" w:pos="8820" w:leader="dot"/>
        </w:tabs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                      w Krakowie, ul. Grzegórzecka 16 – szacunkowa ilość wyjazdów 15</w:t>
      </w:r>
      <w:r>
        <w:rPr>
          <w:rFonts w:cs="Arial"/>
          <w:b w:val="false"/>
          <w:bCs w:val="false"/>
          <w:sz w:val="22"/>
          <w:szCs w:val="22"/>
        </w:rPr>
        <w:t>,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114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/Przedmiot Umowy/.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Oświadczenia Stron.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oświadcza, że posiada odpowiednie zezwolenia, wystarczającą wiedzę, środki techniczne, doświadczenie do prawidłowego wykonania Przedmiotu Umowy oraz że posiada możliwość transportu Zwłok w sposób zgodny z obowiązującymi przepisami prawa.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Zleceniobiorca oświadcza ponadto, że we własnym zakresie lub za pośrednictwem osób trzecich, z którymi Zleceniobiorca zawarł odpowiednie umowy, posiada odpowiednie samochody i inne niezbędne urządzenia transportowe do przewozu Zwłok, które są sprawnie techniczne i są ubezpieczone.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oraz wykonanie Umowy odbywał się będzie zgodnie                                 z Rozporządzeniem Ministra Zdrowia w sprawie postępowania ze zwłokami                               i szczątkami ludzkimi z dnia 7 grudnia 2001 roku (Dz. U. Nr 153, poz. 1783 z późn. zm.) i innymi właściwymi w dniu realizacji Umowy przepisami prawa.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będzie:</w:t>
      </w:r>
    </w:p>
    <w:p>
      <w:pPr>
        <w:pStyle w:val="Tretekstu"/>
        <w:numPr>
          <w:ilvl w:val="0"/>
          <w:numId w:val="5"/>
        </w:numPr>
        <w:spacing w:before="0" w:after="120"/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30;</w:t>
      </w:r>
    </w:p>
    <w:p>
      <w:pPr>
        <w:pStyle w:val="Tretekstu"/>
        <w:numPr>
          <w:ilvl w:val="0"/>
          <w:numId w:val="5"/>
        </w:numPr>
        <w:spacing w:before="0" w:after="120"/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w Krakowie,</w:t>
        <w:br/>
        <w:t>ul. Grzegórzecka 16 – szacunkowa ilość wyjazdów 15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Każdy transport zlecany będzie przez</w:t>
      </w:r>
      <w:r>
        <w:rPr>
          <w:rFonts w:cs="Arial"/>
          <w:b w:val="false"/>
          <w:bCs w:val="false"/>
          <w:sz w:val="22"/>
          <w:szCs w:val="22"/>
        </w:rPr>
        <w:t xml:space="preserve"> Zleceniodawcę z 5 godzinnym wyprzedzeniem od poniedziałku do piątku. Dodatkowo w przypadkach niecierpiących zwłoki transport Zwłok odbywał się będzie na każde wezwanie telefoniczne Zleceniodawcy.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przygotuje Zwłoki do transportu.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 możliwie najkrótszą trasą przejazdu.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Odpowiedzialność za wykonanie Umowy.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zobowiązuje się do wykonywania Przedmiotu Umowy z należytą starannością przy uwzględnieniu zawodowego charakteru prowadzonej działalności ze szczególną ostrożnością i delikatnością.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Od chwili przekazania Zwłok Zleceniobiorcy przez Zleceniodawcę oraz od przekazania Zwłok przez Pracownię Patomorfologii/ ZMS Zleceniobiorca przejmuje wyłączną odpowiedzialność za przewożone Zwłoki oraz za ewentualne szkody powstałe w związku z transportem.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ponosi odpowiedzialność za wszelkie stwierdzone nieprawidłowości               w zakresie wykonania Przedmiotu Umowy ujawnione przez uprawnione zewnętrzne organy kontrolne oraz działające u Zleceniodawcy służby, wewnętrzne.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Przy wykonaniu niniejszej umowy Zleceniobiorca odpowiada za działania i/lub zaniechania osób trzecich, z którymi wykonuje Umowę, jak za własne działania lub zaniechania. 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Stwierdzone uchybienia, dotyczące wykonywania Przedmiotu Umowy, zawinione przez Zleceniobiorcę, zgłaszane będą niezwłocznie Zleceniobiorcy. Zgłoszenia określać będą termin usunięcia uchybień.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braku usunięcia w wyznaczonym terminie stwierdzonych uchybień ze strony Zleceniobiorcy, w przypadku ponownego wystąpienia stwierdzonych już                     i usuniętych przez Zleceniobiorcę nieprawidłowości, niezależnie od faktu i wysokości poniesionej szkody Zleceniobiorca zapłaci Zleceniodawcy karę umowną w wysokości 30 % Wynagrodzenia należnego Zleceniobiorcy w danym Okresie Rozliczeniowym.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Kary umowne mogą być potrącone przez Zleceniodawcę z przysługującego Zleceniobiorcy w danym Okresie Rozliczeniowym Wynagrodzenia.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może dochodzić od Zleceniobiorcy odszkodowania przewyższającego wysokość zastrzeżonych w niniejszym ustępie kar umownych.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Zleceniobiorcy.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Cena brutto za 1 przewóz zwłok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 xml:space="preserve">z SP ZOZ w Proszowicach, ul. Kopernika 13, do Pracowni Patomorfologii Szpitala im. Jana Pawła II w Krakowie, ul. Prądnicka 80                i z powrotem wynosi …................. zł (słownie: …........................), cena brutto za 1 przewóz zwłok z SP ZOZ w Proszowicach, ul. Kopernika 13, do Zakładu Medycyny Sądowej w Krakowie, ul. Grzegórzecka 16 </w:t>
      </w:r>
      <w:r>
        <w:rPr>
          <w:rFonts w:cs="Arial"/>
          <w:b w:val="false"/>
          <w:bCs w:val="false"/>
          <w:sz w:val="22"/>
          <w:szCs w:val="22"/>
        </w:rPr>
        <w:t xml:space="preserve">wynosi …..... zł (słownie: …..........................). 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Wartość brutto przedmiotu umowy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wynosi …................. zł (słownie: …........................).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Kwota Wynagrodzenia zawiera podatek od towarów i usług VAT według obowiązującej stawki podatku.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nie może być zmienione w okresie obowiązywania niniejszej umowy.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Zapłata Wynagrodzenia.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płatne będzie w miesięcznych okresach rozliczeniowych, przelewem na wskazany rachunek bankowy Zleceniobiorcy w terminie 30 dni kalendarzowych licząc od dnia wystawienia przez Zleceniobiorcę odpowiedniej faktury VAT opiewającej na wartość zrealizowanej przez Zleceniobiorcę w danym miesięcznym okresie rozliczeniowym części Przedmiotu Umowy.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Obowiązywanie Umowy, odstąpienie od Umowy i jej wypowiedzenie.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wchodzi w życie z dniem podpisania.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Niniejsza umowa zawarta zostaje na czas określony od dnia wejścia w życie do dnia …....................... roku.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Oprócz wypadków określonych Kodeksie cywilnym dotyczących prawa stron do odstąpienia od Umowy Zleceniodawcy przysługuje prawo rozwiązania Umowy ze skutkiem natychmiastowym (i) w razie wystąpienia istotnej zmiany okoliczności powodującej, że wykonanie Umowy nie leży w interesie publicznym, czego nie można było przewidzieć w chwili zawarcia umowy, odstąpienie od umowy może w tym wypadku nastąpić w terminie miesiąca od powzięcia przez Zamawiającego wiadomości o powyższych okolicznościach, (ii) zostanie wydany nakaz zajęcia majątku Zleceniobiorcy, (iii) Zleceniobiorca nie wykonuje Przedmiotu Umowy, (iv) Zleceniobiorca dokonuje transportu Zwłok w sposób niezgodny z przepisami prawa               i niegodny (v) Zleceniobiorca rażąco narusza istotne postanowienia Umowy.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rozwiązania Umowy przez Zleceniodawcę w sytuacjach, o których mowa ustępie 8.3</w:t>
      </w:r>
      <w:r>
        <w:rPr>
          <w:rFonts w:cs="Arial"/>
          <w:b w:val="false"/>
          <w:bCs w:val="false"/>
          <w:sz w:val="22"/>
          <w:szCs w:val="22"/>
        </w:rPr>
        <w:t>. tiret iii-v Zleceniobiorca</w:t>
      </w:r>
      <w:r>
        <w:rPr>
          <w:rFonts w:cs="Arial"/>
          <w:b w:val="false"/>
          <w:bCs w:val="false"/>
          <w:sz w:val="22"/>
          <w:szCs w:val="22"/>
        </w:rPr>
        <w:t xml:space="preserve"> zobowiązany jest do zapłaty Zleceniodawcy kary umownej w wysokości 20 % wartości, o której mowa w ustępie 6.2. Umowy.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mogą wypowiedzieć Umowę z zachowaniem miesięcznego okresu wypowiedzenia liczonego od dnia otrzymania pisemnego oświadczenia                                o wypowiedzeniu umowy. 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treści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postanowień niniejszej umowy może nastąpić wyłącznie na piśmie pod rygorem nieważności takiej zmiany.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ind w:left="1360" w:right="0" w:hanging="68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Niedopuszczalna jest jednak pod rygorem nieważności zmiana postanowień umowy oraz wprowadzenie nowych postanowień umowy niekorzystnych dla Zleceniodawcy.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Postanowienia końcowe.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zobowiązują się do zachowania w tajemnicy wszelkich informacji pozostających w związku z wykonaniem niniejszej umowy, chyba że 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Nieważność jakiegokolwiek postanowienia niniejszej umowy nie będzie mieć wpływu na ważność pozostałych postanowień Umowy. W przypadku unieważnienia jakiegokolwiek postanowienia, Strony podejmą niezbędne kroki w celu utrzymania intencji i zamiaru dalszego postanowienia.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>Żadna ze stron nie może dokonać zbycia wierzytelności wynikających z niniejszej umowy bez zgody Zleceniodawcy lub Zleceniobiorcy.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Ewentualne spory powstałe na tle stosowania niniejszej umowy podlegają rozstrzygnięciu przez Sąd właściwy według siedziby Zleceniodawcy.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Umowę sporządzono w trzech jednobrzmiących egzemplarzach, w tym dwa egzemplarze otrzymuje Zleceniodawca, a jeden egzemplarz otrzymuje każdy ze Zleceniobiorców.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b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            </w:t>
      </w:r>
      <w:r>
        <w:rPr>
          <w:rFonts w:cs="Arial"/>
          <w:b/>
          <w:bCs/>
          <w:sz w:val="22"/>
          <w:szCs w:val="22"/>
        </w:rPr>
        <w:t>Zleceniobiorca                                                                                      Zleceniodawca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 w:cs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cs="Arial"/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37" w:top="808" w:footer="737" w:bottom="12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i w:val="false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sz w:val="22"/>
        <w:b w:val="false"/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7z0">
    <w:name w:val="WW8Num17z0"/>
    <w:qFormat/>
    <w:rPr>
      <w:b/>
      <w:i w:val="false"/>
    </w:rPr>
  </w:style>
  <w:style w:type="character" w:styleId="WW8Num17z1">
    <w:name w:val="WW8Num17z1"/>
    <w:qFormat/>
    <w:rPr>
      <w:b w:val="false"/>
      <w:i w:val="false"/>
    </w:rPr>
  </w:style>
  <w:style w:type="character" w:styleId="WW8Num17z2">
    <w:name w:val="WW8Num17z2"/>
    <w:qFormat/>
    <w:rPr>
      <w:color w:val="000000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z w:val="22"/>
    </w:rPr>
  </w:style>
  <w:style w:type="character" w:styleId="ListLabel4">
    <w:name w:val="ListLabel 4"/>
    <w:qFormat/>
    <w:rPr>
      <w:rFonts w:ascii="Times New Roman" w:hAnsi="Times New Roman"/>
      <w:b w:val="false"/>
      <w:color w:val="000000"/>
      <w:sz w:val="22"/>
    </w:rPr>
  </w:style>
  <w:style w:type="character" w:styleId="ListLabel5">
    <w:name w:val="ListLabel 5"/>
    <w:qFormat/>
    <w:rPr>
      <w:rFonts w:ascii="Times New Roman CE" w:hAnsi="Times New Roman CE" w:cs="OpenSymbol;Arial Unicode MS"/>
      <w:b/>
      <w:sz w:val="24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 CE" w:hAnsi="Times New Roman CE"/>
      <w:b/>
      <w:bCs w:val="false"/>
      <w:sz w:val="22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rFonts w:ascii="Times New Roman CE" w:hAnsi="Times New Roman CE" w:cs="OpenSymbol;Arial Unicode MS"/>
      <w:b/>
      <w:sz w:val="22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ascii="Times New Roman" w:hAnsi="Times New Roman" w:cs="OpenSymbol;Arial Unicode MS"/>
      <w:b w:val="false"/>
      <w:sz w:val="22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ascii="Times New Roman" w:hAnsi="Times New Roman" w:cs="OpenSymbol;Arial Unicode MS"/>
      <w:b w:val="false"/>
      <w:sz w:val="22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ascii="Times New Roman" w:hAnsi="Times New Roman"/>
      <w:b w:val="false"/>
      <w:i w:val="false"/>
      <w:sz w:val="22"/>
    </w:rPr>
  </w:style>
  <w:style w:type="character" w:styleId="ListLabel69">
    <w:name w:val="ListLabel 69"/>
    <w:qFormat/>
    <w:rPr>
      <w:rFonts w:ascii="Times New Roman" w:hAnsi="Times New Roman"/>
      <w:b w:val="false"/>
      <w:i w:val="false"/>
      <w:sz w:val="22"/>
    </w:rPr>
  </w:style>
  <w:style w:type="character" w:styleId="ListLabel70">
    <w:name w:val="ListLabel 70"/>
    <w:qFormat/>
    <w:rPr>
      <w:rFonts w:ascii="Times New Roman" w:hAnsi="Times New Roman"/>
      <w:b w:val="false"/>
      <w:color w:val="000000"/>
      <w:sz w:val="22"/>
    </w:rPr>
  </w:style>
  <w:style w:type="character" w:styleId="ListLabel71">
    <w:name w:val="ListLabel 71"/>
    <w:qFormat/>
    <w:rPr>
      <w:rFonts w:ascii="Times New Roman CE" w:hAnsi="Times New Roman CE" w:cs="OpenSymbol;Arial Unicode MS"/>
      <w:b/>
      <w:sz w:val="24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b w:val="false"/>
      <w:bCs w:val="false"/>
      <w:sz w:val="22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/>
      <w:bCs w:val="false"/>
      <w:sz w:val="22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rFonts w:ascii="Times New Roman CE" w:hAnsi="Times New Roman CE" w:cs="OpenSymbol;Arial Unicode MS"/>
      <w:b/>
      <w:sz w:val="22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ascii="Times New Roman" w:hAnsi="Times New Roman" w:cs="OpenSymbol;Arial Unicode MS"/>
      <w:b w:val="false"/>
      <w:sz w:val="22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ascii="Times New Roman" w:hAnsi="Times New Roman" w:cs="OpenSymbol;Arial Unicode MS"/>
      <w:b w:val="false"/>
      <w:sz w:val="22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ascii="Times New Roman" w:hAnsi="Times New Roman"/>
      <w:b w:val="false"/>
      <w:i w:val="false"/>
      <w:sz w:val="22"/>
    </w:rPr>
  </w:style>
  <w:style w:type="character" w:styleId="ListLabel126">
    <w:name w:val="ListLabel 126"/>
    <w:qFormat/>
    <w:rPr>
      <w:rFonts w:ascii="Times New Roman" w:hAnsi="Times New Roman"/>
      <w:b w:val="false"/>
      <w:i w:val="false"/>
      <w:sz w:val="22"/>
    </w:rPr>
  </w:style>
  <w:style w:type="character" w:styleId="ListLabel127">
    <w:name w:val="ListLabel 127"/>
    <w:qFormat/>
    <w:rPr>
      <w:rFonts w:ascii="Times New Roman" w:hAnsi="Times New Roman"/>
      <w:b w:val="false"/>
      <w:color w:val="000000"/>
      <w:sz w:val="22"/>
    </w:rPr>
  </w:style>
  <w:style w:type="character" w:styleId="ListLabel128">
    <w:name w:val="ListLabel 128"/>
    <w:qFormat/>
    <w:rPr>
      <w:rFonts w:ascii="Times New Roman CE" w:hAnsi="Times New Roman CE" w:cs="OpenSymbol;Arial Unicode MS"/>
      <w:b/>
      <w:sz w:val="24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b w:val="false"/>
      <w:bCs w:val="false"/>
      <w:sz w:val="22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rFonts w:ascii="Times New Roman CE" w:hAnsi="Times New Roman CE" w:cs="OpenSymbol;Arial Unicode MS"/>
      <w:b/>
      <w:sz w:val="22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ascii="Times New Roman" w:hAnsi="Times New Roman" w:cs="OpenSymbol;Arial Unicode MS"/>
      <w:b w:val="false"/>
      <w:sz w:val="22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ascii="Times New Roman" w:hAnsi="Times New Roman" w:cs="OpenSymbol;Arial Unicode MS"/>
      <w:b w:val="false"/>
      <w:sz w:val="22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ascii="Times New Roman" w:hAnsi="Times New Roman"/>
      <w:b w:val="false"/>
      <w:i w:val="false"/>
      <w:sz w:val="22"/>
    </w:rPr>
  </w:style>
  <w:style w:type="character" w:styleId="ListLabel174">
    <w:name w:val="ListLabel 174"/>
    <w:qFormat/>
    <w:rPr>
      <w:rFonts w:ascii="Times New Roman" w:hAnsi="Times New Roman"/>
      <w:b w:val="false"/>
      <w:i w:val="false"/>
      <w:sz w:val="22"/>
    </w:rPr>
  </w:style>
  <w:style w:type="character" w:styleId="ListLabel175">
    <w:name w:val="ListLabel 175"/>
    <w:qFormat/>
    <w:rPr>
      <w:rFonts w:ascii="Times New Roman" w:hAnsi="Times New Roman"/>
      <w:b w:val="false"/>
      <w:color w:val="000000"/>
      <w:sz w:val="22"/>
    </w:rPr>
  </w:style>
  <w:style w:type="character" w:styleId="ListLabel176">
    <w:name w:val="ListLabel 176"/>
    <w:qFormat/>
    <w:rPr>
      <w:rFonts w:ascii="Times New Roman CE" w:hAnsi="Times New Roman CE" w:cs="OpenSymbol;Arial Unicode MS"/>
      <w:b/>
      <w:sz w:val="24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b w:val="false"/>
      <w:bCs w:val="false"/>
      <w:sz w:val="22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rFonts w:ascii="Times New Roman CE" w:hAnsi="Times New Roman CE" w:cs="OpenSymbol;Arial Unicode MS"/>
      <w:b/>
      <w:sz w:val="22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ascii="Times New Roman" w:hAnsi="Times New Roman" w:cs="OpenSymbol;Arial Unicode MS"/>
      <w:b w:val="false"/>
      <w:sz w:val="22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ascii="Times New Roman" w:hAnsi="Times New Roman" w:cs="OpenSymbol;Arial Unicode MS"/>
      <w:b w:val="false"/>
      <w:sz w:val="22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ascii="Times New Roman" w:hAnsi="Times New Roman"/>
      <w:b w:val="false"/>
      <w:i w:val="false"/>
      <w:sz w:val="22"/>
    </w:rPr>
  </w:style>
  <w:style w:type="character" w:styleId="ListLabel222">
    <w:name w:val="ListLabel 222"/>
    <w:qFormat/>
    <w:rPr>
      <w:rFonts w:ascii="Times New Roman" w:hAnsi="Times New Roman"/>
      <w:b w:val="false"/>
      <w:i w:val="false"/>
      <w:sz w:val="22"/>
    </w:rPr>
  </w:style>
  <w:style w:type="character" w:styleId="ListLabel223">
    <w:name w:val="ListLabel 223"/>
    <w:qFormat/>
    <w:rPr>
      <w:rFonts w:ascii="Times New Roman" w:hAnsi="Times New Roman"/>
      <w:b w:val="false"/>
      <w:color w:val="000000"/>
      <w:sz w:val="22"/>
    </w:rPr>
  </w:style>
  <w:style w:type="character" w:styleId="ListLabel224">
    <w:name w:val="ListLabel 224"/>
    <w:qFormat/>
    <w:rPr>
      <w:rFonts w:ascii="Times New Roman" w:hAnsi="Times New Roman" w:cs="OpenSymbol;Arial Unicode MS"/>
      <w:b w:val="false"/>
      <w:sz w:val="22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ascii="Times New Roman" w:hAnsi="Times New Roman" w:cs="OpenSymbol;Arial Unicode MS"/>
      <w:b w:val="false"/>
      <w:sz w:val="22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ascii="Times New Roman" w:hAnsi="Times New Roman"/>
      <w:b w:val="false"/>
      <w:i w:val="false"/>
      <w:sz w:val="22"/>
    </w:rPr>
  </w:style>
  <w:style w:type="character" w:styleId="ListLabel243">
    <w:name w:val="ListLabel 243"/>
    <w:qFormat/>
    <w:rPr>
      <w:rFonts w:ascii="Times New Roman" w:hAnsi="Times New Roman"/>
      <w:b w:val="false"/>
      <w:i w:val="false"/>
      <w:sz w:val="22"/>
    </w:rPr>
  </w:style>
  <w:style w:type="character" w:styleId="ListLabel244">
    <w:name w:val="ListLabel 244"/>
    <w:qFormat/>
    <w:rPr>
      <w:rFonts w:ascii="Times New Roman" w:hAnsi="Times New Roman"/>
      <w:b w:val="false"/>
      <w:color w:val="000000"/>
      <w:sz w:val="22"/>
    </w:rPr>
  </w:style>
  <w:style w:type="character" w:styleId="ListLabel245">
    <w:name w:val="ListLabel 245"/>
    <w:qFormat/>
    <w:rPr>
      <w:rFonts w:ascii="Times New Roman" w:hAnsi="Times New Roman" w:cs="OpenSymbol;Arial Unicode MS"/>
      <w:b w:val="false"/>
      <w:sz w:val="22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ascii="Times New Roman" w:hAnsi="Times New Roman" w:cs="OpenSymbol;Arial Unicode MS"/>
      <w:b w:val="false"/>
      <w:sz w:val="22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ascii="Times New Roman" w:hAnsi="Times New Roman"/>
      <w:b w:val="false"/>
      <w:i w:val="false"/>
      <w:sz w:val="22"/>
    </w:rPr>
  </w:style>
  <w:style w:type="character" w:styleId="ListLabel264">
    <w:name w:val="ListLabel 264"/>
    <w:qFormat/>
    <w:rPr>
      <w:rFonts w:ascii="Times New Roman" w:hAnsi="Times New Roman"/>
      <w:b w:val="false"/>
      <w:i w:val="false"/>
      <w:sz w:val="22"/>
    </w:rPr>
  </w:style>
  <w:style w:type="character" w:styleId="ListLabel265">
    <w:name w:val="ListLabel 265"/>
    <w:qFormat/>
    <w:rPr>
      <w:rFonts w:ascii="Times New Roman" w:hAnsi="Times New Roman"/>
      <w:b w:val="false"/>
      <w:color w:val="000000"/>
      <w:sz w:val="22"/>
    </w:rPr>
  </w:style>
  <w:style w:type="character" w:styleId="ListLabel266">
    <w:name w:val="ListLabel 266"/>
    <w:qFormat/>
    <w:rPr>
      <w:rFonts w:cs="OpenSymbol;Arial Unicode MS"/>
      <w:b w:val="false"/>
      <w:sz w:val="22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  <w:b w:val="false"/>
      <w:sz w:val="22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ascii="Times New Roman" w:hAnsi="Times New Roman"/>
      <w:b w:val="false"/>
      <w:i w:val="false"/>
      <w:sz w:val="22"/>
    </w:rPr>
  </w:style>
  <w:style w:type="character" w:styleId="ListLabel285">
    <w:name w:val="ListLabel 285"/>
    <w:qFormat/>
    <w:rPr>
      <w:rFonts w:ascii="Times New Roman" w:hAnsi="Times New Roman"/>
      <w:b w:val="false"/>
      <w:i w:val="false"/>
      <w:sz w:val="22"/>
    </w:rPr>
  </w:style>
  <w:style w:type="character" w:styleId="ListLabel286">
    <w:name w:val="ListLabel 286"/>
    <w:qFormat/>
    <w:rPr>
      <w:rFonts w:ascii="Times New Roman" w:hAnsi="Times New Roman"/>
      <w:b w:val="false"/>
      <w:color w:val="000000"/>
      <w:sz w:val="22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  <w:b w:val="false"/>
      <w:sz w:val="22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923</TotalTime>
  <Application>LibreOffice/5.2.2.2$Windows_x86 LibreOffice_project/8f96e87c890bf8fa77463cd4b640a2312823f3ad</Application>
  <Pages>5</Pages>
  <Words>1395</Words>
  <Characters>9883</Characters>
  <CharactersWithSpaces>11741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2017-08-08T14:08:16Z</cp:lastPrinted>
  <dcterms:modified xsi:type="dcterms:W3CDTF">2021-02-01T09:52:15Z</dcterms:modified>
  <cp:revision>94</cp:revision>
  <dc:subject/>
  <dc:title/>
</cp:coreProperties>
</file>