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 xml:space="preserve">Oznaczenie sprawy: </w:t>
      </w:r>
      <w:r>
        <w:rPr>
          <w:sz w:val="22"/>
          <w:szCs w:val="22"/>
        </w:rPr>
        <w:t>31</w:t>
      </w:r>
      <w:r>
        <w:rPr>
          <w:sz w:val="22"/>
          <w:szCs w:val="22"/>
        </w:rPr>
        <w:t>/ZP/2020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Dotyczy postępowania o udzielenie zamówienia publicznego prowadzonego w trybie przetargu nieograniczonego pn: </w:t>
      </w:r>
      <w:r>
        <w:rPr>
          <w:rStyle w:val="Mocnowyrniony"/>
          <w:b w:val="false"/>
          <w:bCs w:val="false"/>
          <w:color w:val="000000"/>
          <w:sz w:val="22"/>
          <w:szCs w:val="22"/>
        </w:rPr>
        <w:t xml:space="preserve">Dostawa do magazynu Apteki szpitalnej </w:t>
      </w:r>
      <w:r>
        <w:rPr>
          <w:rStyle w:val="Mocnowyrniony"/>
          <w:b w:val="false"/>
          <w:bCs w:val="false"/>
          <w:color w:val="000000"/>
          <w:sz w:val="22"/>
          <w:szCs w:val="22"/>
        </w:rPr>
        <w:t>wyrobów medycznych i produktów leczniczych.</w:t>
      </w:r>
    </w:p>
    <w:p>
      <w:pPr>
        <w:pStyle w:val="Normal"/>
        <w:jc w:val="both"/>
        <w:rPr>
          <w:rStyle w:val="Mocnowyrniony"/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/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756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MEDICAVERA Sp. z o.o. Dahlhausen Group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Majowa 2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71-374 Szczecin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7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PAKIET </w:t>
            </w:r>
            <w:r>
              <w:rPr>
                <w:b w:val="false"/>
                <w:bCs w:val="false"/>
                <w:sz w:val="22"/>
                <w:szCs w:val="22"/>
              </w:rPr>
              <w:t>15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89 492,90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bookmarkStart w:id="0" w:name="__DdeLink__647_909421824"/>
            <w:bookmarkEnd w:id="0"/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83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BERYL MED POLAND Sp. z o.o.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Złotej Jesieni 58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05-410 Józefów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PAKIET </w:t>
            </w:r>
            <w:r>
              <w:rPr>
                <w:b w:val="false"/>
                <w:bCs w:val="false"/>
                <w:sz w:val="22"/>
                <w:szCs w:val="22"/>
              </w:rPr>
              <w:t>10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32 837,40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636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Servier Polska Services Sp. z o.o.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Jana Kazimierza 10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01-248 Warszawa 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7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30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1 831,68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AKME Sp. z o.o. Sp. k.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Poloneza 89B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02-826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12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16 923,60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86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 Chifa Sp. z o.o.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ul. Tysiąclecia 14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64-300 Nowy Tomyśl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48 034,30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67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6.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SUN-MED Spółka Cywilna 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Dominik Siekierski Sławomir Naparty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Franciszkańska 104/112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91-845 Łódź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PAKIET 20 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13 776,00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74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7.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PAUL HARTMANN Polska Sp. z o.o.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Żeromskiego 17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95-200 Pabianice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8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197 396,03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22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96 554,38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856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J. Chodacki, A. Misztal „Medica” Spółka Jawna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Przemysłowa 4A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59-300 Lublin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29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33 210,00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778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9.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Dr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>äger Polska Sp. z o.o.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>ul. Posag 7 Panien 1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>02-495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25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29 143,75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928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10.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Rovers Polska Sp. z o.o.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ul. Stołeczna 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05-501 Piaseczno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24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8 910,68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912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Olympus Polska Sp. z o.o.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ul. Wynalazek 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02-677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21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113 773,68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962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POLMIL Sp. z o.o. SKA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ul. Przemysłowa 8B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85-758 Bydgoszcz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24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4 293,00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962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13.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ASPEN PHARMA IRELAND LIMITED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One George’s Quay Plaza Dublin 2, Irlandia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516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PAKIET 31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5 165,96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5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14.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Konsorcjum: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Citonet-Kraków Sp. z o.o.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Gromadzka 52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30-719 Kraków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oraz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Toruńskie Zakłady Materiałów Opatrunkowych S.A.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Żółkiewskiego 20/26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87-100 Toruń 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9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151 505,12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16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9 707,96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67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15.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SKAMEX Sp. z o.o. Sp. J.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Częstochowska 38/52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93-121 Łódź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45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75 481,31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673 016,58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20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24 969,00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29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43 050,00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588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16.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SORIMEX Sp. z o.o. Sp. k.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Równinna 25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87-100 Toruń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10 125,54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6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6 419,52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892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17.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Przedsiębiorstwo Handlowo – Usługowe 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ANMAR Sp. z o.o. Sp. K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Strefowa 22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43-100 Tychy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99 379,01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72 569,86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miesięcy 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5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10 585,38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6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10 027,93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7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84 051,88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18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8 568,07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miesięcy</w:t>
            </w:r>
          </w:p>
        </w:tc>
      </w:tr>
    </w:tbl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Proszowice, dnia </w:t>
      </w:r>
      <w:r>
        <w:rPr>
          <w:rFonts w:cs="Tahoma"/>
          <w:i w:val="false"/>
          <w:iCs w:val="false"/>
          <w:sz w:val="22"/>
          <w:szCs w:val="22"/>
        </w:rPr>
        <w:t>11</w:t>
      </w:r>
      <w:r>
        <w:rPr>
          <w:rFonts w:cs="Tahoma"/>
          <w:i w:val="false"/>
          <w:iCs w:val="false"/>
          <w:sz w:val="22"/>
          <w:szCs w:val="22"/>
        </w:rPr>
        <w:t>.</w:t>
      </w:r>
      <w:r>
        <w:rPr>
          <w:rFonts w:cs="Tahoma"/>
          <w:i w:val="false"/>
          <w:iCs w:val="false"/>
          <w:sz w:val="22"/>
          <w:szCs w:val="22"/>
        </w:rPr>
        <w:t>12</w:t>
      </w:r>
      <w:r>
        <w:rPr>
          <w:rFonts w:cs="Tahoma"/>
          <w:i w:val="false"/>
          <w:iCs w:val="false"/>
          <w:sz w:val="22"/>
          <w:szCs w:val="22"/>
        </w:rPr>
        <w:t>.2020 r.</w:t>
      </w:r>
    </w:p>
    <w:p>
      <w:pPr>
        <w:pStyle w:val="Normal"/>
        <w:rPr>
          <w:rFonts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  <w:shd w:fill="FFFFFF" w:val="clear"/>
        </w:rPr>
        <w:t xml:space="preserve">                                                                                                           </w:t>
      </w:r>
    </w:p>
    <w:p>
      <w:pPr>
        <w:pStyle w:val="Normal"/>
        <w:rPr>
          <w:rFonts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spacing w:lineRule="auto" w:line="240"/>
        <w:rPr/>
      </w:pPr>
      <w:r>
        <w:rPr>
          <w:rFonts w:cs="Tahoma"/>
          <w:i w:val="false"/>
          <w:iCs w:val="false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 xml:space="preserve">                </w:t>
      </w:r>
      <w:r>
        <w:rPr>
          <w:rFonts w:cs="Tahoma"/>
          <w:i w:val="false"/>
          <w:iCs w:val="false"/>
          <w:sz w:val="20"/>
          <w:szCs w:val="20"/>
        </w:rPr>
        <w:t xml:space="preserve">    ..…........................................................................</w:t>
      </w:r>
    </w:p>
    <w:p>
      <w:pPr>
        <w:pStyle w:val="Normal"/>
        <w:spacing w:lineRule="auto" w:line="240"/>
        <w:rPr>
          <w:rFonts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cs="Tahoma"/>
          <w:i w:val="false"/>
          <w:iCs w:val="false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>(data i podpis kierownika Zamawiającego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cs="Tahoma"/>
          <w:i w:val="false"/>
          <w:iCs w:val="false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>lub osoby upoważnionej)</w:t>
      </w:r>
    </w:p>
    <w:p>
      <w:pPr>
        <w:pStyle w:val="Normal"/>
        <w:spacing w:lineRule="auto" w:line="240"/>
        <w:rPr>
          <w:rFonts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spacing w:lineRule="auto" w:line="240"/>
        <w:rPr>
          <w:rFonts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spacing w:lineRule="auto" w:line="240"/>
        <w:rPr>
          <w:rFonts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spacing w:lineRule="auto" w:line="240"/>
        <w:rPr>
          <w:rFonts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spacing w:lineRule="auto" w:line="240"/>
        <w:rPr>
          <w:rFonts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spacing w:lineRule="auto" w:line="240"/>
        <w:rPr>
          <w:rFonts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spacing w:lineRule="auto" w:line="240"/>
        <w:rPr>
          <w:rFonts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spacing w:lineRule="auto" w:line="240"/>
        <w:rPr>
          <w:rFonts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spacing w:lineRule="auto" w:line="240"/>
        <w:rPr>
          <w:rFonts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spacing w:lineRule="auto" w:line="240"/>
        <w:rPr>
          <w:rFonts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spacing w:lineRule="auto" w:line="240"/>
        <w:rPr>
          <w:rFonts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spacing w:lineRule="auto" w:line="240"/>
        <w:rPr>
          <w:rFonts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spacing w:lineRule="auto" w:line="240"/>
        <w:rPr>
          <w:rFonts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spacing w:lineRule="auto" w:line="240"/>
        <w:rPr>
          <w:rFonts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spacing w:lineRule="auto" w:line="240"/>
        <w:rPr>
          <w:rFonts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spacing w:lineRule="auto" w:line="240"/>
        <w:rPr/>
      </w:pPr>
      <w:r>
        <w:rPr>
          <w:rFonts w:cs="Tahoma"/>
          <w:i w:val="false"/>
          <w:iCs w:val="false"/>
          <w:sz w:val="20"/>
          <w:szCs w:val="20"/>
        </w:rPr>
        <w:t xml:space="preserve">Sporządził: </w:t>
      </w:r>
      <w:r>
        <w:rPr>
          <w:rFonts w:cs="Tahoma"/>
          <w:i w:val="false"/>
          <w:iCs w:val="false"/>
          <w:sz w:val="20"/>
          <w:szCs w:val="20"/>
        </w:rPr>
        <w:t>Marianna Maj,</w:t>
      </w:r>
      <w:r>
        <w:rPr>
          <w:rFonts w:cs="Tahoma"/>
          <w:i w:val="false"/>
          <w:iCs w:val="false"/>
          <w:sz w:val="20"/>
          <w:szCs w:val="20"/>
        </w:rPr>
        <w:t xml:space="preserve"> Justyna Jarosz</w:t>
      </w:r>
    </w:p>
    <w:sectPr>
      <w:type w:val="nextPage"/>
      <w:pgSz w:orient="landscape" w:w="16838" w:h="11906"/>
      <w:pgMar w:left="1418" w:right="1418" w:header="0" w:top="1020" w:footer="0" w:bottom="90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2502</TotalTime>
  <Application>LibreOffice/5.2.2.2$Windows_x86 LibreOffice_project/8f96e87c890bf8fa77463cd4b640a2312823f3ad</Application>
  <Pages>4</Pages>
  <Words>534</Words>
  <Characters>2518</Characters>
  <CharactersWithSpaces>3067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2020-07-21T13:39:53Z</cp:lastPrinted>
  <dcterms:modified xsi:type="dcterms:W3CDTF">2020-12-15T09:21:40Z</dcterms:modified>
  <cp:revision>229</cp:revision>
  <dc:subject/>
  <dc:title>oznaczenie sprawy </dc:title>
</cp:coreProperties>
</file>