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right"/>
        <w:rPr/>
      </w:pPr>
      <w:bookmarkStart w:id="0" w:name="_GoBack"/>
      <w:bookmarkEnd w:id="0"/>
      <w:r>
        <w:rPr>
          <w:rFonts w:eastAsia="TimesNewRoman" w:cs="Times New Roman"/>
          <w:b/>
          <w:color w:val="000000"/>
          <w:sz w:val="22"/>
          <w:szCs w:val="22"/>
          <w:lang w:eastAsia="ar-SA"/>
        </w:rPr>
        <w:t xml:space="preserve">Załącznik nr </w:t>
      </w:r>
      <w:r>
        <w:rPr>
          <w:rFonts w:eastAsia="TimesNewRoman" w:cs="Times New Roman"/>
          <w:b/>
          <w:color w:val="000000"/>
          <w:sz w:val="22"/>
          <w:szCs w:val="22"/>
          <w:lang w:eastAsia="ar-SA"/>
        </w:rPr>
        <w:t xml:space="preserve">1 </w:t>
      </w:r>
      <w:r>
        <w:rPr>
          <w:rFonts w:eastAsia="TimesNewRoman" w:cs="Times New Roman"/>
          <w:b/>
          <w:color w:val="000000"/>
          <w:sz w:val="22"/>
          <w:szCs w:val="22"/>
          <w:lang w:eastAsia="ar-SA"/>
        </w:rPr>
        <w:t xml:space="preserve"> </w:t>
      </w:r>
      <w:r>
        <w:rPr>
          <w:rFonts w:eastAsia="TimesNewRoman" w:cs="Times New Roman"/>
          <w:b/>
          <w:color w:val="000000"/>
          <w:sz w:val="22"/>
          <w:szCs w:val="22"/>
          <w:lang w:eastAsia="ar-SA"/>
        </w:rPr>
        <w:t>d</w:t>
      </w:r>
      <w:r>
        <w:rPr>
          <w:rFonts w:eastAsia="TimesNewRoman" w:cs="Times New Roman"/>
          <w:b/>
          <w:color w:val="000000"/>
          <w:sz w:val="22"/>
          <w:szCs w:val="22"/>
          <w:lang w:eastAsia="ar-SA"/>
        </w:rPr>
        <w:t>o umowy</w:t>
      </w:r>
    </w:p>
    <w:p>
      <w:pPr>
        <w:pStyle w:val="Standard"/>
        <w:jc w:val="center"/>
        <w:rPr>
          <w:rFonts w:eastAsia="TimesNewRoman" w:cs="Times New Roman"/>
          <w:b/>
          <w:b/>
          <w:color w:val="000000"/>
          <w:sz w:val="22"/>
          <w:szCs w:val="22"/>
          <w:lang w:eastAsia="ar-SA"/>
        </w:rPr>
      </w:pPr>
      <w:r>
        <w:rPr>
          <w:rFonts w:eastAsia="TimesNewRoman" w:cs="Times New Roman"/>
          <w:b/>
          <w:color w:val="000000"/>
          <w:sz w:val="22"/>
          <w:szCs w:val="22"/>
          <w:lang w:eastAsia="ar-SA"/>
        </w:rPr>
      </w:r>
    </w:p>
    <w:p>
      <w:pPr>
        <w:pStyle w:val="Standard"/>
        <w:jc w:val="center"/>
        <w:rPr>
          <w:rFonts w:cs="Times New Roman"/>
          <w:b/>
          <w:b/>
          <w:color w:val="000000"/>
          <w:sz w:val="22"/>
          <w:szCs w:val="22"/>
        </w:rPr>
      </w:pPr>
      <w:r>
        <w:rPr>
          <w:rFonts w:cs="Times New Roman"/>
          <w:b/>
          <w:color w:val="000000"/>
          <w:sz w:val="22"/>
          <w:szCs w:val="22"/>
        </w:rPr>
        <w:t>Porozumienie o powierzeniu przetwarzania danych osobowych</w:t>
      </w:r>
    </w:p>
    <w:p>
      <w:pPr>
        <w:pStyle w:val="Standard"/>
        <w:jc w:val="center"/>
        <w:rPr>
          <w:rFonts w:cs="Times New Roman"/>
          <w:sz w:val="22"/>
          <w:szCs w:val="22"/>
        </w:rPr>
      </w:pPr>
      <w:r>
        <w:rPr>
          <w:rFonts w:cs="Times New Roman"/>
          <w:b/>
          <w:bCs/>
          <w:color w:val="000000"/>
          <w:sz w:val="22"/>
          <w:szCs w:val="22"/>
        </w:rPr>
        <w:t>zawarte dnia</w:t>
      </w:r>
      <w:r>
        <w:rPr>
          <w:rFonts w:cs="Times New Roman"/>
          <w:b/>
          <w:bCs/>
          <w:color w:val="FF3333"/>
          <w:sz w:val="22"/>
          <w:szCs w:val="22"/>
        </w:rPr>
        <w:t xml:space="preserve"> </w:t>
      </w:r>
      <w:r>
        <w:rPr>
          <w:rFonts w:cs="Times New Roman"/>
          <w:b/>
          <w:bCs/>
          <w:color w:val="000000"/>
          <w:sz w:val="22"/>
          <w:szCs w:val="22"/>
        </w:rPr>
        <w:t>……………. r. pomiędzy:</w:t>
      </w:r>
    </w:p>
    <w:p>
      <w:pPr>
        <w:pStyle w:val="Standard"/>
        <w:jc w:val="center"/>
        <w:rPr>
          <w:rFonts w:cs="Times New Roman"/>
          <w:color w:val="000000"/>
          <w:sz w:val="22"/>
          <w:szCs w:val="22"/>
        </w:rPr>
      </w:pPr>
      <w:r>
        <w:rPr>
          <w:rFonts w:cs="Times New Roman"/>
          <w:color w:val="000000"/>
          <w:sz w:val="22"/>
          <w:szCs w:val="22"/>
        </w:rPr>
        <w:t>(zwane dalej „Porozumieniem”)</w:t>
      </w:r>
    </w:p>
    <w:p>
      <w:pPr>
        <w:pStyle w:val="Normal"/>
        <w:jc w:val="center"/>
        <w:rPr>
          <w:b/>
          <w:b/>
          <w:sz w:val="22"/>
          <w:szCs w:val="22"/>
        </w:rPr>
      </w:pPr>
      <w:r>
        <w:rPr>
          <w:color w:val="000000"/>
          <w:sz w:val="22"/>
          <w:szCs w:val="22"/>
        </w:rPr>
        <w:t xml:space="preserve">do umowy nr </w:t>
      </w:r>
      <w:r>
        <w:rPr>
          <w:b/>
          <w:sz w:val="22"/>
          <w:szCs w:val="22"/>
        </w:rPr>
        <w:t>………………….</w:t>
      </w:r>
    </w:p>
    <w:p>
      <w:pPr>
        <w:pStyle w:val="Standard"/>
        <w:jc w:val="center"/>
        <w:rPr>
          <w:rFonts w:cs="Times New Roman"/>
          <w:color w:val="000000"/>
          <w:sz w:val="22"/>
          <w:szCs w:val="22"/>
        </w:rPr>
      </w:pPr>
      <w:r>
        <w:rPr>
          <w:rFonts w:cs="Times New Roman"/>
          <w:color w:val="000000"/>
          <w:sz w:val="22"/>
          <w:szCs w:val="22"/>
        </w:rPr>
        <w:t xml:space="preserve">z dnia ………………r. </w:t>
      </w:r>
    </w:p>
    <w:p>
      <w:pPr>
        <w:pStyle w:val="Standard"/>
        <w:jc w:val="both"/>
        <w:rPr>
          <w:rFonts w:cs="Times New Roman"/>
          <w:color w:val="000000"/>
          <w:sz w:val="22"/>
          <w:szCs w:val="22"/>
        </w:rPr>
      </w:pPr>
      <w:r>
        <w:rPr>
          <w:rFonts w:cs="Times New Roman"/>
          <w:color w:val="000000"/>
          <w:sz w:val="22"/>
          <w:szCs w:val="22"/>
        </w:rPr>
      </w:r>
    </w:p>
    <w:p>
      <w:pPr>
        <w:pStyle w:val="Normal"/>
        <w:jc w:val="both"/>
        <w:rPr>
          <w:bCs/>
          <w:sz w:val="22"/>
          <w:szCs w:val="22"/>
        </w:rPr>
      </w:pPr>
      <w:r>
        <w:rPr>
          <w:b/>
          <w:sz w:val="22"/>
          <w:szCs w:val="22"/>
        </w:rPr>
        <w:t>…………………………………………………………</w:t>
      </w:r>
      <w:r>
        <w:rPr>
          <w:b/>
          <w:sz w:val="22"/>
          <w:szCs w:val="22"/>
        </w:rPr>
        <w:t>..</w:t>
      </w:r>
    </w:p>
    <w:p>
      <w:pPr>
        <w:pStyle w:val="Standard"/>
        <w:rPr>
          <w:rFonts w:cs="Times New Roman"/>
          <w:sz w:val="22"/>
          <w:szCs w:val="22"/>
        </w:rPr>
      </w:pPr>
      <w:r>
        <w:rPr>
          <w:rFonts w:cs="Times New Roman"/>
          <w:color w:val="000000"/>
          <w:sz w:val="22"/>
          <w:szCs w:val="22"/>
        </w:rPr>
        <w:t xml:space="preserve">zwany w dalszej części Porozumienia  </w:t>
      </w:r>
      <w:r>
        <w:rPr>
          <w:rFonts w:cs="Times New Roman"/>
          <w:b/>
          <w:color w:val="000000"/>
          <w:sz w:val="22"/>
          <w:szCs w:val="22"/>
        </w:rPr>
        <w:t xml:space="preserve">„Administratorem danych” </w:t>
      </w:r>
      <w:r>
        <w:rPr>
          <w:rFonts w:cs="Times New Roman"/>
          <w:color w:val="000000"/>
          <w:sz w:val="22"/>
          <w:szCs w:val="22"/>
        </w:rPr>
        <w:t>lub</w:t>
      </w:r>
      <w:r>
        <w:rPr>
          <w:rFonts w:cs="Times New Roman"/>
          <w:b/>
          <w:color w:val="000000"/>
          <w:sz w:val="22"/>
          <w:szCs w:val="22"/>
        </w:rPr>
        <w:t xml:space="preserve"> „Administratorem”</w:t>
      </w:r>
    </w:p>
    <w:p>
      <w:pPr>
        <w:pStyle w:val="Standard"/>
        <w:rPr>
          <w:rFonts w:cs="Times New Roman"/>
          <w:color w:val="000000"/>
          <w:sz w:val="22"/>
          <w:szCs w:val="22"/>
        </w:rPr>
      </w:pPr>
      <w:r>
        <w:rPr>
          <w:rFonts w:cs="Times New Roman"/>
          <w:color w:val="000000"/>
          <w:sz w:val="22"/>
          <w:szCs w:val="22"/>
        </w:rPr>
        <w:t>reprezentowanym przez:</w:t>
      </w:r>
    </w:p>
    <w:p>
      <w:pPr>
        <w:pStyle w:val="Normal"/>
        <w:jc w:val="both"/>
        <w:rPr>
          <w:b/>
          <w:b/>
          <w:bCs/>
          <w:sz w:val="22"/>
          <w:szCs w:val="22"/>
        </w:rPr>
      </w:pPr>
      <w:r>
        <w:rPr>
          <w:b/>
          <w:bCs/>
          <w:sz w:val="22"/>
          <w:szCs w:val="22"/>
        </w:rPr>
        <w:t>…………………………</w:t>
      </w:r>
    </w:p>
    <w:p>
      <w:pPr>
        <w:pStyle w:val="Standard"/>
        <w:rPr>
          <w:rFonts w:cs="Times New Roman"/>
          <w:color w:val="000000"/>
          <w:sz w:val="22"/>
          <w:szCs w:val="22"/>
        </w:rPr>
      </w:pPr>
      <w:r>
        <w:rPr>
          <w:rFonts w:cs="Times New Roman"/>
          <w:color w:val="000000"/>
          <w:sz w:val="22"/>
          <w:szCs w:val="22"/>
        </w:rPr>
        <w:t>Oraz</w:t>
      </w:r>
    </w:p>
    <w:p>
      <w:pPr>
        <w:pStyle w:val="Normal"/>
        <w:rPr>
          <w:sz w:val="22"/>
          <w:szCs w:val="22"/>
        </w:rPr>
      </w:pPr>
      <w:r>
        <w:rPr>
          <w:b/>
          <w:sz w:val="22"/>
          <w:szCs w:val="22"/>
        </w:rPr>
        <w:t>……………………………………………</w:t>
      </w:r>
      <w:r>
        <w:rPr>
          <w:b/>
          <w:sz w:val="22"/>
          <w:szCs w:val="22"/>
        </w:rPr>
        <w:t>..</w:t>
      </w:r>
    </w:p>
    <w:p>
      <w:pPr>
        <w:pStyle w:val="Normal"/>
        <w:rPr>
          <w:sz w:val="22"/>
          <w:szCs w:val="22"/>
        </w:rPr>
      </w:pPr>
      <w:r>
        <w:rPr>
          <w:sz w:val="22"/>
          <w:szCs w:val="22"/>
        </w:rPr>
      </w:r>
    </w:p>
    <w:p>
      <w:pPr>
        <w:pStyle w:val="Standard"/>
        <w:rPr>
          <w:rFonts w:cs="Times New Roman"/>
          <w:sz w:val="22"/>
          <w:szCs w:val="22"/>
        </w:rPr>
      </w:pPr>
      <w:r>
        <w:rPr>
          <w:rFonts w:cs="Times New Roman"/>
          <w:color w:val="000000"/>
          <w:sz w:val="22"/>
          <w:szCs w:val="22"/>
        </w:rPr>
        <w:t xml:space="preserve">zwany w dalszej części Porozumienia </w:t>
      </w:r>
      <w:r>
        <w:rPr>
          <w:rFonts w:cs="Times New Roman"/>
          <w:b/>
          <w:color w:val="000000"/>
          <w:sz w:val="22"/>
          <w:szCs w:val="22"/>
        </w:rPr>
        <w:t>„Podmiotem przetwarzającym”</w:t>
      </w:r>
    </w:p>
    <w:p>
      <w:pPr>
        <w:pStyle w:val="Standard"/>
        <w:rPr>
          <w:rFonts w:cs="Times New Roman"/>
          <w:color w:val="000000"/>
          <w:sz w:val="22"/>
          <w:szCs w:val="22"/>
        </w:rPr>
      </w:pPr>
      <w:r>
        <w:rPr>
          <w:rFonts w:cs="Times New Roman"/>
          <w:color w:val="000000"/>
          <w:sz w:val="22"/>
          <w:szCs w:val="22"/>
        </w:rPr>
        <w:t>reprezentowanym przez:</w:t>
      </w:r>
    </w:p>
    <w:p>
      <w:pPr>
        <w:pStyle w:val="Normal"/>
        <w:rPr>
          <w:sz w:val="22"/>
          <w:szCs w:val="22"/>
        </w:rPr>
      </w:pPr>
      <w:r>
        <w:rPr>
          <w:sz w:val="22"/>
          <w:szCs w:val="22"/>
        </w:rPr>
        <w:t>…………………………………………………</w:t>
      </w:r>
    </w:p>
    <w:p>
      <w:pPr>
        <w:pStyle w:val="Normal"/>
        <w:rPr>
          <w:sz w:val="22"/>
          <w:szCs w:val="22"/>
        </w:rPr>
      </w:pPr>
      <w:r>
        <w:rPr>
          <w:sz w:val="22"/>
          <w:szCs w:val="22"/>
        </w:rPr>
      </w:r>
    </w:p>
    <w:p>
      <w:pPr>
        <w:pStyle w:val="Standard"/>
        <w:jc w:val="center"/>
        <w:rPr>
          <w:rFonts w:cs="Times New Roman"/>
          <w:b/>
          <w:b/>
          <w:color w:val="000000"/>
          <w:sz w:val="22"/>
          <w:szCs w:val="22"/>
        </w:rPr>
      </w:pPr>
      <w:r>
        <w:rPr>
          <w:rFonts w:cs="Times New Roman"/>
          <w:b/>
          <w:color w:val="000000"/>
          <w:sz w:val="22"/>
          <w:szCs w:val="22"/>
        </w:rPr>
        <w:t>§ 1</w:t>
      </w:r>
    </w:p>
    <w:p>
      <w:pPr>
        <w:pStyle w:val="Standard"/>
        <w:jc w:val="center"/>
        <w:rPr>
          <w:rFonts w:cs="Times New Roman"/>
          <w:b/>
          <w:b/>
          <w:color w:val="000000"/>
          <w:sz w:val="22"/>
          <w:szCs w:val="22"/>
        </w:rPr>
      </w:pPr>
      <w:r>
        <w:rPr>
          <w:rFonts w:cs="Times New Roman"/>
          <w:b/>
          <w:color w:val="000000"/>
          <w:sz w:val="22"/>
          <w:szCs w:val="22"/>
        </w:rPr>
        <w:t>Powierzenie przetwarzania danych osobowych</w:t>
      </w:r>
    </w:p>
    <w:p>
      <w:pPr>
        <w:pStyle w:val="ListParagraph"/>
        <w:widowControl w:val="false"/>
        <w:numPr>
          <w:ilvl w:val="0"/>
          <w:numId w:val="11"/>
        </w:numPr>
        <w:suppressAutoHyphens w:val="true"/>
        <w:spacing w:before="0" w:after="160"/>
        <w:ind w:left="0" w:hanging="360"/>
        <w:jc w:val="both"/>
        <w:textAlignment w:val="baseline"/>
        <w:rPr>
          <w:sz w:val="22"/>
          <w:szCs w:val="22"/>
        </w:rPr>
      </w:pPr>
      <w:r>
        <w:rPr>
          <w:color w:val="000000"/>
          <w:sz w:val="22"/>
          <w:szCs w:val="22"/>
        </w:rPr>
        <w:t>W trybie art. 28 rozporządzenia Parlamentu Europejskiego Rady (UE) 2016/679 z dnia 27 kwietnia 2016 r. w sprawie ochrony osób fizycznych w związku z przetwarzaniem danych osobowych i w sprawie swobodnego przepływu takich danych oraz dyrektywy 95/46/WE (ogólne rozporządzenie o ochronie danych)</w:t>
      </w:r>
      <w:r>
        <w:rPr>
          <w:b/>
          <w:color w:val="000000"/>
          <w:sz w:val="22"/>
          <w:szCs w:val="22"/>
        </w:rPr>
        <w:t xml:space="preserve"> </w:t>
      </w:r>
      <w:r>
        <w:rPr>
          <w:color w:val="000000"/>
          <w:sz w:val="22"/>
          <w:szCs w:val="22"/>
        </w:rPr>
        <w:t>zwanego w dalszej części „Rozporządzeniem” oraz w oparciu o ustawę o ochronie danych osobowych, Administrator danych powierza Podmiotowi przetwarzającemu, dane osobowe do przetwarzania, na zasadach i w  celu  określonym w niniejszym Porozumieniu.</w:t>
      </w:r>
    </w:p>
    <w:p>
      <w:pPr>
        <w:pStyle w:val="ListParagraph"/>
        <w:widowControl w:val="false"/>
        <w:numPr>
          <w:ilvl w:val="0"/>
          <w:numId w:val="2"/>
        </w:numPr>
        <w:suppressAutoHyphens w:val="true"/>
        <w:spacing w:before="0" w:after="160"/>
        <w:ind w:left="720" w:hanging="360"/>
        <w:jc w:val="both"/>
        <w:textAlignment w:val="baseline"/>
        <w:rPr>
          <w:color w:val="000000"/>
          <w:sz w:val="22"/>
          <w:szCs w:val="22"/>
        </w:rPr>
      </w:pPr>
      <w:r>
        <w:rPr>
          <w:color w:val="000000"/>
          <w:sz w:val="22"/>
          <w:szCs w:val="22"/>
        </w:rPr>
        <w:t>Podmiot przetwarzający zobowiązuje się przetwarzać powierzone mu dane osobowe zgodnie z niniejszym Porozumieniem, Rozporządzeniem oraz z innymi przepisami prawa powszechnie obowiązującego, które chronią prawa osób, których dane dotyczą.</w:t>
      </w:r>
    </w:p>
    <w:p>
      <w:pPr>
        <w:pStyle w:val="ListParagraph"/>
        <w:widowControl w:val="false"/>
        <w:numPr>
          <w:ilvl w:val="0"/>
          <w:numId w:val="2"/>
        </w:numPr>
        <w:suppressAutoHyphens w:val="true"/>
        <w:spacing w:before="0" w:after="160"/>
        <w:ind w:left="720" w:hanging="360"/>
        <w:jc w:val="both"/>
        <w:textAlignment w:val="baseline"/>
        <w:rPr>
          <w:color w:val="000000"/>
          <w:sz w:val="22"/>
          <w:szCs w:val="22"/>
        </w:rPr>
      </w:pPr>
      <w:r>
        <w:rPr>
          <w:color w:val="000000"/>
          <w:sz w:val="22"/>
          <w:szCs w:val="22"/>
        </w:rPr>
        <w:t>Podmiot przetwarzający oświadcza, iż stosuje środki bezpieczeństwa spełniające wymogi Rozporządzenia.</w:t>
      </w:r>
    </w:p>
    <w:p>
      <w:pPr>
        <w:pStyle w:val="Standard"/>
        <w:jc w:val="center"/>
        <w:rPr>
          <w:rFonts w:cs="Times New Roman"/>
          <w:b/>
          <w:b/>
          <w:color w:val="000000"/>
          <w:sz w:val="22"/>
          <w:szCs w:val="22"/>
        </w:rPr>
      </w:pPr>
      <w:r>
        <w:rPr>
          <w:rFonts w:cs="Times New Roman"/>
          <w:b/>
          <w:color w:val="000000"/>
          <w:sz w:val="22"/>
          <w:szCs w:val="22"/>
        </w:rPr>
        <w:t>§2</w:t>
      </w:r>
    </w:p>
    <w:p>
      <w:pPr>
        <w:pStyle w:val="Standard"/>
        <w:jc w:val="center"/>
        <w:rPr>
          <w:rFonts w:cs="Times New Roman"/>
          <w:b/>
          <w:b/>
          <w:color w:val="000000"/>
          <w:sz w:val="22"/>
          <w:szCs w:val="22"/>
        </w:rPr>
      </w:pPr>
      <w:r>
        <w:rPr>
          <w:rFonts w:cs="Times New Roman"/>
          <w:b/>
          <w:color w:val="000000"/>
          <w:sz w:val="22"/>
          <w:szCs w:val="22"/>
        </w:rPr>
        <w:t>Zakres i cel przetwarzania danych</w:t>
      </w:r>
    </w:p>
    <w:p>
      <w:pPr>
        <w:pStyle w:val="ListParagraph"/>
        <w:widowControl w:val="false"/>
        <w:numPr>
          <w:ilvl w:val="0"/>
          <w:numId w:val="12"/>
        </w:numPr>
        <w:suppressAutoHyphens w:val="true"/>
        <w:spacing w:before="0" w:after="160"/>
        <w:jc w:val="both"/>
        <w:textAlignment w:val="baseline"/>
        <w:rPr>
          <w:sz w:val="22"/>
          <w:szCs w:val="22"/>
        </w:rPr>
      </w:pPr>
      <w:r>
        <w:rPr>
          <w:color w:val="000000"/>
          <w:sz w:val="22"/>
          <w:szCs w:val="22"/>
        </w:rPr>
        <w:t xml:space="preserve">Podmiot przetwarzający będzie przetwarzał, powierzone na podstawie Porozumienia </w:t>
      </w:r>
      <w:r>
        <w:rPr>
          <w:b/>
          <w:bCs/>
          <w:color w:val="000000"/>
          <w:sz w:val="22"/>
          <w:szCs w:val="22"/>
        </w:rPr>
        <w:t>dane osobowe pacjentów,</w:t>
      </w:r>
      <w:r>
        <w:rPr>
          <w:color w:val="000000"/>
          <w:sz w:val="22"/>
          <w:szCs w:val="22"/>
        </w:rPr>
        <w:t xml:space="preserve"> w tym dane szczególnie chronione na rzecz, których wykonywane są świadczenia medyczne w związku z zawartą przez strony Umową </w:t>
      </w:r>
      <w:r>
        <w:rPr>
          <w:b/>
          <w:sz w:val="22"/>
          <w:szCs w:val="22"/>
        </w:rPr>
        <w:t xml:space="preserve">……………………. </w:t>
      </w:r>
      <w:r>
        <w:rPr>
          <w:color w:val="000000"/>
          <w:sz w:val="22"/>
          <w:szCs w:val="22"/>
        </w:rPr>
        <w:t>z dnia ……………….. r. w zakresie:</w:t>
      </w:r>
    </w:p>
    <w:p>
      <w:pPr>
        <w:pStyle w:val="ListParagraph"/>
        <w:jc w:val="both"/>
        <w:rPr>
          <w:i/>
          <w:i/>
          <w:color w:val="000000"/>
          <w:sz w:val="22"/>
          <w:szCs w:val="22"/>
        </w:rPr>
      </w:pPr>
      <w:r>
        <w:rPr>
          <w:i/>
          <w:color w:val="000000"/>
          <w:sz w:val="22"/>
          <w:szCs w:val="22"/>
        </w:rPr>
        <w:t>a) nazwisko i imię</w:t>
      </w:r>
    </w:p>
    <w:p>
      <w:pPr>
        <w:pStyle w:val="ListParagraph"/>
        <w:jc w:val="both"/>
        <w:rPr>
          <w:i/>
          <w:i/>
          <w:color w:val="000000"/>
          <w:sz w:val="22"/>
          <w:szCs w:val="22"/>
        </w:rPr>
      </w:pPr>
      <w:r>
        <w:rPr>
          <w:i/>
          <w:color w:val="000000"/>
          <w:sz w:val="22"/>
          <w:szCs w:val="22"/>
        </w:rPr>
        <w:t>b) data urodzenia</w:t>
      </w:r>
    </w:p>
    <w:p>
      <w:pPr>
        <w:pStyle w:val="ListParagraph"/>
        <w:jc w:val="both"/>
        <w:rPr>
          <w:i/>
          <w:i/>
          <w:color w:val="000000"/>
          <w:sz w:val="22"/>
          <w:szCs w:val="22"/>
        </w:rPr>
      </w:pPr>
      <w:r>
        <w:rPr>
          <w:i/>
          <w:color w:val="000000"/>
          <w:sz w:val="22"/>
          <w:szCs w:val="22"/>
        </w:rPr>
        <w:t>c) oznaczenia płci</w:t>
      </w:r>
    </w:p>
    <w:p>
      <w:pPr>
        <w:pStyle w:val="ListParagraph"/>
        <w:jc w:val="both"/>
        <w:rPr>
          <w:i/>
          <w:i/>
          <w:color w:val="000000"/>
          <w:sz w:val="22"/>
          <w:szCs w:val="22"/>
        </w:rPr>
      </w:pPr>
      <w:r>
        <w:rPr>
          <w:i/>
          <w:color w:val="000000"/>
          <w:sz w:val="22"/>
          <w:szCs w:val="22"/>
        </w:rPr>
        <w:t>d) adres miejsca zamieszkania</w:t>
      </w:r>
    </w:p>
    <w:p>
      <w:pPr>
        <w:pStyle w:val="ListParagraph"/>
        <w:jc w:val="both"/>
        <w:rPr>
          <w:i/>
          <w:i/>
          <w:color w:val="000000"/>
          <w:sz w:val="22"/>
          <w:szCs w:val="22"/>
        </w:rPr>
      </w:pPr>
      <w:r>
        <w:rPr>
          <w:i/>
          <w:color w:val="000000"/>
          <w:sz w:val="22"/>
          <w:szCs w:val="22"/>
        </w:rPr>
        <w:t>e) numer PESEL, a w przypadku jego braku rodzaj i numer dokumentu potwierdzającego tożsamość</w:t>
      </w:r>
    </w:p>
    <w:p>
      <w:pPr>
        <w:pStyle w:val="ListParagraph"/>
        <w:jc w:val="both"/>
        <w:rPr>
          <w:i/>
          <w:i/>
          <w:color w:val="000000"/>
          <w:sz w:val="22"/>
          <w:szCs w:val="22"/>
        </w:rPr>
      </w:pPr>
      <w:r>
        <w:rPr>
          <w:i/>
          <w:color w:val="000000"/>
          <w:sz w:val="22"/>
          <w:szCs w:val="22"/>
        </w:rPr>
        <w:t>f) w przypadku pacjenta małoletniego, całkowicie ubezwłasnowolnionego lub niezdolnego do świadomego wyrażania zgody – nazwisko i imię przedstawiciela ustawowego oraz adres jego zamieszkania,</w:t>
      </w:r>
    </w:p>
    <w:p>
      <w:pPr>
        <w:pStyle w:val="ListParagraph"/>
        <w:jc w:val="both"/>
        <w:rPr>
          <w:sz w:val="22"/>
          <w:szCs w:val="22"/>
        </w:rPr>
      </w:pPr>
      <w:r>
        <w:rPr>
          <w:i/>
          <w:color w:val="000000"/>
          <w:sz w:val="22"/>
          <w:szCs w:val="22"/>
        </w:rPr>
        <w:t>g) numer identyfikacyjny pacjenta podany przy braku innych danych,</w:t>
      </w:r>
    </w:p>
    <w:p>
      <w:pPr>
        <w:pStyle w:val="ListParagraph"/>
        <w:jc w:val="both"/>
        <w:rPr>
          <w:i/>
          <w:i/>
          <w:color w:val="000000"/>
          <w:sz w:val="22"/>
          <w:szCs w:val="22"/>
        </w:rPr>
      </w:pPr>
      <w:r>
        <w:rPr>
          <w:i/>
          <w:color w:val="000000"/>
          <w:sz w:val="22"/>
          <w:szCs w:val="22"/>
        </w:rPr>
        <w:t>h) rozpoznanie ustalone przez osobę kierującą</w:t>
      </w:r>
    </w:p>
    <w:p>
      <w:pPr>
        <w:pStyle w:val="ListParagraph"/>
        <w:jc w:val="both"/>
        <w:rPr>
          <w:i/>
          <w:i/>
          <w:color w:val="000000"/>
          <w:sz w:val="22"/>
          <w:szCs w:val="22"/>
        </w:rPr>
      </w:pPr>
      <w:r>
        <w:rPr>
          <w:i/>
          <w:color w:val="000000"/>
          <w:sz w:val="22"/>
          <w:szCs w:val="22"/>
        </w:rPr>
        <w:t>i) inne informacje lub dane w zakresie niezbędnym do przeprowadzenia świadczeń medycznych (badań, konsultacji lub leczenia)</w:t>
      </w:r>
    </w:p>
    <w:p>
      <w:pPr>
        <w:pStyle w:val="Normal"/>
        <w:jc w:val="both"/>
        <w:rPr>
          <w:i/>
          <w:i/>
          <w:color w:val="000000"/>
          <w:sz w:val="22"/>
          <w:szCs w:val="22"/>
        </w:rPr>
      </w:pPr>
      <w:r>
        <w:rPr>
          <w:i/>
          <w:color w:val="000000"/>
          <w:sz w:val="22"/>
          <w:szCs w:val="22"/>
        </w:rPr>
      </w:r>
    </w:p>
    <w:p>
      <w:pPr>
        <w:pStyle w:val="ListParagraph"/>
        <w:jc w:val="both"/>
        <w:rPr>
          <w:i/>
          <w:i/>
          <w:color w:val="000000"/>
          <w:sz w:val="22"/>
          <w:szCs w:val="22"/>
        </w:rPr>
      </w:pPr>
      <w:r>
        <w:rPr>
          <w:i/>
          <w:color w:val="000000"/>
          <w:sz w:val="22"/>
          <w:szCs w:val="22"/>
        </w:rPr>
        <w:t>oraz</w:t>
      </w:r>
    </w:p>
    <w:p>
      <w:pPr>
        <w:pStyle w:val="ListParagraph"/>
        <w:jc w:val="both"/>
        <w:rPr>
          <w:sz w:val="22"/>
          <w:szCs w:val="22"/>
        </w:rPr>
      </w:pPr>
      <w:r>
        <w:rPr>
          <w:b/>
          <w:bCs/>
          <w:i/>
          <w:color w:val="000000"/>
          <w:sz w:val="22"/>
          <w:szCs w:val="22"/>
        </w:rPr>
        <w:t>dane osobowe Personelu</w:t>
      </w:r>
      <w:r>
        <w:rPr>
          <w:i/>
          <w:color w:val="000000"/>
          <w:sz w:val="22"/>
          <w:szCs w:val="22"/>
        </w:rPr>
        <w:t xml:space="preserve"> upoważnionego do wykonywania zadań  związanych z realizacją umowy na świadczenia medyczne tj.:</w:t>
      </w:r>
    </w:p>
    <w:p>
      <w:pPr>
        <w:pStyle w:val="ListParagraph"/>
        <w:jc w:val="both"/>
        <w:rPr>
          <w:sz w:val="22"/>
          <w:szCs w:val="22"/>
        </w:rPr>
      </w:pPr>
      <w:r>
        <w:rPr>
          <w:i/>
          <w:color w:val="000000"/>
          <w:sz w:val="22"/>
          <w:szCs w:val="22"/>
        </w:rPr>
        <w:t>a) dane osobowe lekarzy lub innych osób uprawnionych do zlecania świadczeń medycznych (imię i nazwisko lekarza kierującego, tytuł zawodowy, uzyskane specjalizacje, numer prawa wykonywania zawodu)</w:t>
      </w:r>
    </w:p>
    <w:p>
      <w:pPr>
        <w:pStyle w:val="ListParagraph"/>
        <w:jc w:val="both"/>
        <w:rPr>
          <w:i/>
          <w:i/>
          <w:color w:val="000000"/>
          <w:sz w:val="22"/>
          <w:szCs w:val="22"/>
        </w:rPr>
      </w:pPr>
      <w:r>
        <w:rPr>
          <w:i/>
          <w:color w:val="000000"/>
          <w:sz w:val="22"/>
          <w:szCs w:val="22"/>
        </w:rPr>
        <w:t>b) dane osób pobierających materiał do badań (imię i nazwisko, tytuł zawodowy, numer prawa wykonywania zawodu)</w:t>
      </w:r>
    </w:p>
    <w:p>
      <w:pPr>
        <w:pStyle w:val="ListParagraph"/>
        <w:jc w:val="both"/>
        <w:rPr>
          <w:sz w:val="22"/>
          <w:szCs w:val="22"/>
        </w:rPr>
      </w:pPr>
      <w:r>
        <w:rPr>
          <w:i/>
          <w:color w:val="000000"/>
          <w:sz w:val="22"/>
          <w:szCs w:val="22"/>
        </w:rPr>
        <w:t>c) lekarzy i innych osób uprawnionych przez uprawnionych do dostępu do wyników badań (imię i nazwisko, tytuł zawodowy, numer prawa wykonywania zawodu)</w:t>
      </w:r>
    </w:p>
    <w:p>
      <w:pPr>
        <w:pStyle w:val="ListParagraph"/>
        <w:widowControl w:val="false"/>
        <w:numPr>
          <w:ilvl w:val="0"/>
          <w:numId w:val="6"/>
        </w:numPr>
        <w:suppressAutoHyphens w:val="true"/>
        <w:spacing w:before="0" w:after="160"/>
        <w:jc w:val="both"/>
        <w:textAlignment w:val="baseline"/>
        <w:rPr>
          <w:color w:val="000000"/>
          <w:sz w:val="22"/>
          <w:szCs w:val="22"/>
        </w:rPr>
      </w:pPr>
      <w:r>
        <w:rPr>
          <w:color w:val="000000"/>
          <w:sz w:val="22"/>
          <w:szCs w:val="22"/>
        </w:rPr>
        <w:t xml:space="preserve">Powierzone przez Administratora danych - dane osobowe będą przetwarzane przez Podmiot przetwarzający wyłącznie w celu i zakresie dostępu, przechowywania i opracowywania danych dla celów związanych z wykonywaniem świadczeń medycznych.  </w:t>
      </w:r>
    </w:p>
    <w:p>
      <w:pPr>
        <w:pStyle w:val="Standard"/>
        <w:jc w:val="center"/>
        <w:rPr>
          <w:rFonts w:cs="Times New Roman"/>
          <w:b/>
          <w:b/>
          <w:color w:val="000000"/>
          <w:sz w:val="22"/>
          <w:szCs w:val="22"/>
        </w:rPr>
      </w:pPr>
      <w:bookmarkStart w:id="1" w:name="_GoBack1"/>
      <w:bookmarkEnd w:id="1"/>
      <w:r>
        <w:rPr>
          <w:rFonts w:cs="Times New Roman"/>
          <w:b/>
          <w:color w:val="000000"/>
          <w:sz w:val="22"/>
          <w:szCs w:val="22"/>
        </w:rPr>
        <w:t>§3</w:t>
      </w:r>
    </w:p>
    <w:p>
      <w:pPr>
        <w:pStyle w:val="Standard"/>
        <w:jc w:val="center"/>
        <w:rPr>
          <w:rFonts w:cs="Times New Roman"/>
          <w:b/>
          <w:b/>
          <w:color w:val="000000"/>
          <w:sz w:val="22"/>
          <w:szCs w:val="22"/>
        </w:rPr>
      </w:pPr>
      <w:r>
        <w:rPr>
          <w:rFonts w:cs="Times New Roman"/>
          <w:b/>
          <w:color w:val="000000"/>
          <w:sz w:val="22"/>
          <w:szCs w:val="22"/>
        </w:rPr>
        <w:t>Obowiązki podmiotu przetwarzającego</w:t>
      </w:r>
    </w:p>
    <w:p>
      <w:pPr>
        <w:pStyle w:val="ListParagraph"/>
        <w:widowControl w:val="false"/>
        <w:numPr>
          <w:ilvl w:val="0"/>
          <w:numId w:val="13"/>
        </w:numPr>
        <w:suppressAutoHyphens w:val="true"/>
        <w:spacing w:before="0" w:after="160"/>
        <w:jc w:val="both"/>
        <w:textAlignment w:val="baseline"/>
        <w:rPr>
          <w:sz w:val="22"/>
          <w:szCs w:val="22"/>
        </w:rPr>
      </w:pPr>
      <w:r>
        <w:rPr>
          <w:color w:val="000000"/>
          <w:sz w:val="22"/>
          <w:szCs w:val="22"/>
        </w:rPr>
        <w:t xml:space="preserve">Podmiot przetwarzający zobowiązuje się, przy przetwarzaniu powierzonych danych osobowych, </w:t>
      </w:r>
      <w:r>
        <w:rPr>
          <w:b/>
          <w:color w:val="000000"/>
          <w:sz w:val="22"/>
          <w:szCs w:val="22"/>
        </w:rPr>
        <w:t>do ich zabezpieczenia poprzez stosowanie odpowiednich środków technicznych i organizacyjnych zapewniających</w:t>
      </w:r>
      <w:r>
        <w:rPr>
          <w:color w:val="000000"/>
          <w:sz w:val="22"/>
          <w:szCs w:val="22"/>
        </w:rPr>
        <w:t xml:space="preserve"> adekwatny stopień bezpieczeństwa odpowiadający ryzyku związanym z przetwarzaniem danych osobowych, o których mowa w art. 32 Rozporządzenia.</w:t>
      </w:r>
    </w:p>
    <w:p>
      <w:pPr>
        <w:pStyle w:val="ListParagraph"/>
        <w:widowControl w:val="false"/>
        <w:numPr>
          <w:ilvl w:val="0"/>
          <w:numId w:val="7"/>
        </w:numPr>
        <w:suppressAutoHyphens w:val="true"/>
        <w:spacing w:before="0" w:after="160"/>
        <w:jc w:val="both"/>
        <w:textAlignment w:val="baseline"/>
        <w:rPr>
          <w:color w:val="000000"/>
          <w:sz w:val="22"/>
          <w:szCs w:val="22"/>
        </w:rPr>
      </w:pPr>
      <w:r>
        <w:rPr>
          <w:color w:val="000000"/>
          <w:sz w:val="22"/>
          <w:szCs w:val="22"/>
        </w:rPr>
        <w:t>Podmiot przetwarzający zobowiązuje się dołożyć należytej staranności przy przetwarzaniu powierzonych danych osobowych.</w:t>
      </w:r>
    </w:p>
    <w:p>
      <w:pPr>
        <w:pStyle w:val="ListParagraph"/>
        <w:widowControl w:val="false"/>
        <w:numPr>
          <w:ilvl w:val="0"/>
          <w:numId w:val="7"/>
        </w:numPr>
        <w:suppressAutoHyphens w:val="true"/>
        <w:spacing w:before="0" w:after="160"/>
        <w:jc w:val="both"/>
        <w:textAlignment w:val="baseline"/>
        <w:rPr>
          <w:sz w:val="22"/>
          <w:szCs w:val="22"/>
        </w:rPr>
      </w:pPr>
      <w:r>
        <w:rPr>
          <w:color w:val="000000"/>
          <w:sz w:val="22"/>
          <w:szCs w:val="22"/>
        </w:rPr>
        <w:t xml:space="preserve">Podmiot przetwarzający zobowiązuje się do </w:t>
      </w:r>
      <w:r>
        <w:rPr>
          <w:b/>
          <w:color w:val="000000"/>
          <w:sz w:val="22"/>
          <w:szCs w:val="22"/>
        </w:rPr>
        <w:t>nadania upoważnień do przetwarzania danych osobowych wszystkim osobom, które będą</w:t>
      </w:r>
      <w:r>
        <w:rPr>
          <w:color w:val="000000"/>
          <w:sz w:val="22"/>
          <w:szCs w:val="22"/>
        </w:rPr>
        <w:t xml:space="preserve"> przetwarzały powierzone dane w celu realizacji niniejszego Porozumienia.  </w:t>
      </w:r>
    </w:p>
    <w:p>
      <w:pPr>
        <w:pStyle w:val="ListParagraph"/>
        <w:widowControl w:val="false"/>
        <w:numPr>
          <w:ilvl w:val="0"/>
          <w:numId w:val="7"/>
        </w:numPr>
        <w:suppressAutoHyphens w:val="true"/>
        <w:spacing w:before="0" w:after="160"/>
        <w:jc w:val="both"/>
        <w:textAlignment w:val="baseline"/>
        <w:rPr>
          <w:color w:val="000000"/>
          <w:sz w:val="22"/>
          <w:szCs w:val="22"/>
        </w:rPr>
      </w:pPr>
      <w:r>
        <w:rPr>
          <w:color w:val="000000"/>
          <w:sz w:val="22"/>
          <w:szCs w:val="22"/>
        </w:rPr>
        <w:t xml:space="preserve">Podmiot przetwarzający zobowiązuje się zapewnić zachowanie w tajemnicy, </w:t>
        <w:br/>
        <w:t>(o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pPr>
        <w:pStyle w:val="ListParagraph"/>
        <w:widowControl w:val="false"/>
        <w:numPr>
          <w:ilvl w:val="0"/>
          <w:numId w:val="7"/>
        </w:numPr>
        <w:suppressAutoHyphens w:val="true"/>
        <w:spacing w:before="0" w:after="160"/>
        <w:jc w:val="both"/>
        <w:textAlignment w:val="baseline"/>
        <w:rPr>
          <w:sz w:val="22"/>
          <w:szCs w:val="22"/>
        </w:rPr>
      </w:pPr>
      <w:r>
        <w:rPr>
          <w:color w:val="000000"/>
          <w:sz w:val="22"/>
          <w:szCs w:val="22"/>
        </w:rPr>
        <w:t xml:space="preserve">Podmiot przetwarzający po zakończeniu świadczenia usług związanych </w:t>
        <w:br/>
        <w:t xml:space="preserve">z </w:t>
      </w:r>
      <w:r>
        <w:rPr>
          <w:b/>
          <w:color w:val="000000"/>
          <w:sz w:val="22"/>
          <w:szCs w:val="22"/>
        </w:rPr>
        <w:t>przetwarzaniem trwale usuwa wszelkie</w:t>
      </w:r>
      <w:r>
        <w:rPr>
          <w:color w:val="000000"/>
          <w:sz w:val="22"/>
          <w:szCs w:val="22"/>
        </w:rPr>
        <w:t xml:space="preserve"> dane osobowe </w:t>
      </w:r>
      <w:r>
        <w:rPr>
          <w:b/>
          <w:color w:val="000000"/>
          <w:sz w:val="22"/>
          <w:szCs w:val="22"/>
        </w:rPr>
        <w:t>oraz usuwa wszelkie ich istniejące kopie, bądź zwraca wszelkie powierzone dane osobowe, chyba że prawo Unii lub pr</w:t>
      </w:r>
      <w:r>
        <w:rPr>
          <w:b/>
          <w:bCs/>
          <w:color w:val="000000"/>
          <w:sz w:val="22"/>
          <w:szCs w:val="22"/>
        </w:rPr>
        <w:t>awo państwa członkowskiego</w:t>
      </w:r>
      <w:r>
        <w:rPr>
          <w:color w:val="000000"/>
          <w:sz w:val="22"/>
          <w:szCs w:val="22"/>
        </w:rPr>
        <w:t xml:space="preserve"> nakazują przechowywanie danych osobowych.</w:t>
      </w:r>
    </w:p>
    <w:p>
      <w:pPr>
        <w:pStyle w:val="ListParagraph"/>
        <w:widowControl w:val="false"/>
        <w:numPr>
          <w:ilvl w:val="0"/>
          <w:numId w:val="7"/>
        </w:numPr>
        <w:suppressAutoHyphens w:val="true"/>
        <w:spacing w:before="0" w:after="160"/>
        <w:jc w:val="both"/>
        <w:textAlignment w:val="baseline"/>
        <w:rPr>
          <w:color w:val="000000"/>
          <w:sz w:val="22"/>
          <w:szCs w:val="22"/>
        </w:rPr>
      </w:pPr>
      <w:r>
        <w:rPr>
          <w:color w:val="000000"/>
          <w:sz w:val="22"/>
          <w:szCs w:val="22"/>
        </w:rPr>
        <w:t xml:space="preserve">W miarę możliwości Podmiot przetwarzający pomaga Administratorowi </w:t>
        <w:br/>
        <w:t>w niezbędnym zakresie wywiązywać się z obowiązku odpowiadania na żądania osoby, której dane dotyczą oraz wywiązywania się z obowiązków określonych w art. 32-36 Rozporządzenia.</w:t>
      </w:r>
    </w:p>
    <w:p>
      <w:pPr>
        <w:pStyle w:val="ListParagraph"/>
        <w:widowControl w:val="false"/>
        <w:numPr>
          <w:ilvl w:val="0"/>
          <w:numId w:val="7"/>
        </w:numPr>
        <w:suppressAutoHyphens w:val="true"/>
        <w:spacing w:before="0" w:after="160"/>
        <w:jc w:val="both"/>
        <w:textAlignment w:val="baseline"/>
        <w:rPr>
          <w:color w:val="000000"/>
          <w:sz w:val="22"/>
          <w:szCs w:val="22"/>
        </w:rPr>
      </w:pPr>
      <w:r>
        <w:rPr>
          <w:color w:val="000000"/>
          <w:sz w:val="22"/>
          <w:szCs w:val="22"/>
        </w:rPr>
        <w:t>Podmiot przetwarzający po stwierdzeniu naruszenia ochrony danych osobowych bez zbędnej zwłoki zgłasza je Administratorowi jednak nie później niż w terminie 24 godzin od chwili stwierdzenia naruszenia.</w:t>
      </w:r>
    </w:p>
    <w:p>
      <w:pPr>
        <w:pStyle w:val="ListParagraph"/>
        <w:widowControl w:val="false"/>
        <w:numPr>
          <w:ilvl w:val="0"/>
          <w:numId w:val="7"/>
        </w:numPr>
        <w:suppressAutoHyphens w:val="true"/>
        <w:spacing w:before="0" w:after="160"/>
        <w:jc w:val="both"/>
        <w:textAlignment w:val="baseline"/>
        <w:rPr>
          <w:color w:val="000000"/>
          <w:sz w:val="22"/>
          <w:szCs w:val="22"/>
        </w:rPr>
      </w:pPr>
      <w:r>
        <w:rPr>
          <w:color w:val="000000"/>
          <w:sz w:val="22"/>
          <w:szCs w:val="22"/>
        </w:rPr>
        <w:t>Podmiot przetwarzający zobowiązuje się do przeszkolenia osób upoważnionych do przetwarzania danych osobowych w zakresie niniejszej umowy.</w:t>
      </w:r>
    </w:p>
    <w:p>
      <w:pPr>
        <w:pStyle w:val="Standard"/>
        <w:jc w:val="center"/>
        <w:rPr>
          <w:rFonts w:cs="Times New Roman"/>
          <w:b/>
          <w:b/>
          <w:color w:val="000000"/>
          <w:sz w:val="22"/>
          <w:szCs w:val="22"/>
        </w:rPr>
      </w:pPr>
      <w:r>
        <w:rPr>
          <w:rFonts w:cs="Times New Roman"/>
          <w:b/>
          <w:color w:val="000000"/>
          <w:sz w:val="22"/>
          <w:szCs w:val="22"/>
        </w:rPr>
        <w:t>§4</w:t>
      </w:r>
    </w:p>
    <w:p>
      <w:pPr>
        <w:pStyle w:val="Standard"/>
        <w:jc w:val="center"/>
        <w:rPr>
          <w:rFonts w:cs="Times New Roman"/>
          <w:b/>
          <w:b/>
          <w:color w:val="000000"/>
          <w:sz w:val="22"/>
          <w:szCs w:val="22"/>
        </w:rPr>
      </w:pPr>
      <w:r>
        <w:rPr>
          <w:rFonts w:cs="Times New Roman"/>
          <w:b/>
          <w:color w:val="000000"/>
          <w:sz w:val="22"/>
          <w:szCs w:val="22"/>
        </w:rPr>
        <w:t>Prawo kontroli</w:t>
      </w:r>
    </w:p>
    <w:p>
      <w:pPr>
        <w:pStyle w:val="ListParagraph"/>
        <w:widowControl w:val="false"/>
        <w:numPr>
          <w:ilvl w:val="0"/>
          <w:numId w:val="14"/>
        </w:numPr>
        <w:suppressAutoHyphens w:val="true"/>
        <w:spacing w:before="0" w:after="160"/>
        <w:ind w:left="0" w:hanging="360"/>
        <w:jc w:val="both"/>
        <w:textAlignment w:val="baseline"/>
        <w:rPr>
          <w:color w:val="000000"/>
          <w:sz w:val="22"/>
          <w:szCs w:val="22"/>
        </w:rPr>
      </w:pPr>
      <w:r>
        <w:rPr>
          <w:color w:val="000000"/>
          <w:sz w:val="22"/>
          <w:szCs w:val="22"/>
        </w:rPr>
        <w:t>Administrator danych zgodnie z art. 28 ust. 3 pkt h) Rozporządzenia ma prawo kontroli, czy środki zastosowane przez Podmiot przetwarzający przy przetwarzaniu i zabezpieczeniu powierzonych danych osobowych spełniają postanowienia umowy.</w:t>
      </w:r>
    </w:p>
    <w:p>
      <w:pPr>
        <w:pStyle w:val="ListParagraph"/>
        <w:widowControl w:val="false"/>
        <w:numPr>
          <w:ilvl w:val="0"/>
          <w:numId w:val="5"/>
        </w:numPr>
        <w:suppressAutoHyphens w:val="true"/>
        <w:spacing w:before="0" w:after="160"/>
        <w:jc w:val="both"/>
        <w:textAlignment w:val="baseline"/>
        <w:rPr>
          <w:color w:val="000000"/>
          <w:sz w:val="22"/>
          <w:szCs w:val="22"/>
        </w:rPr>
      </w:pPr>
      <w:r>
        <w:rPr>
          <w:color w:val="000000"/>
          <w:sz w:val="22"/>
          <w:szCs w:val="22"/>
        </w:rPr>
        <w:t>Administrator danych realizować będzie prawo kontroli w godzinach pracy Podmiotu przetwarzającego i z minimum 14 dniowym jego uprzedzeniem.</w:t>
      </w:r>
    </w:p>
    <w:p>
      <w:pPr>
        <w:pStyle w:val="ListParagraph"/>
        <w:widowControl w:val="false"/>
        <w:numPr>
          <w:ilvl w:val="0"/>
          <w:numId w:val="5"/>
        </w:numPr>
        <w:suppressAutoHyphens w:val="true"/>
        <w:spacing w:before="0" w:after="160"/>
        <w:jc w:val="both"/>
        <w:textAlignment w:val="baseline"/>
        <w:rPr>
          <w:color w:val="000000"/>
          <w:sz w:val="22"/>
          <w:szCs w:val="22"/>
        </w:rPr>
      </w:pPr>
      <w:r>
        <w:rPr>
          <w:color w:val="000000"/>
          <w:sz w:val="22"/>
          <w:szCs w:val="22"/>
        </w:rPr>
        <w:t>Podmiot przetwarzający zobowiązuje się do usunięcia uchybień stwierdzonych podczas kontroli w terminie wskazanym przez Administratora danych nie dłuższym niż 7 dni.</w:t>
      </w:r>
    </w:p>
    <w:p>
      <w:pPr>
        <w:pStyle w:val="ListParagraph"/>
        <w:widowControl w:val="false"/>
        <w:numPr>
          <w:ilvl w:val="0"/>
          <w:numId w:val="5"/>
        </w:numPr>
        <w:suppressAutoHyphens w:val="true"/>
        <w:spacing w:before="0" w:after="160"/>
        <w:jc w:val="both"/>
        <w:textAlignment w:val="baseline"/>
        <w:rPr>
          <w:color w:val="000000"/>
          <w:sz w:val="22"/>
          <w:szCs w:val="22"/>
        </w:rPr>
      </w:pPr>
      <w:r>
        <w:rPr>
          <w:color w:val="000000"/>
          <w:sz w:val="22"/>
          <w:szCs w:val="22"/>
        </w:rPr>
        <w:t>Podmiot przetwarzający udostępnia Administratorowi wszelkie informacje niezbędne do wykazania spełnienia obowiązków określonych w art. 28 Rozporządzenia.</w:t>
      </w:r>
    </w:p>
    <w:p>
      <w:pPr>
        <w:pStyle w:val="Standard"/>
        <w:jc w:val="center"/>
        <w:rPr>
          <w:rFonts w:cs="Times New Roman"/>
          <w:b/>
          <w:b/>
          <w:color w:val="000000"/>
          <w:sz w:val="22"/>
          <w:szCs w:val="22"/>
        </w:rPr>
      </w:pPr>
      <w:r>
        <w:rPr>
          <w:rFonts w:cs="Times New Roman"/>
          <w:b/>
          <w:color w:val="000000"/>
          <w:sz w:val="22"/>
          <w:szCs w:val="22"/>
        </w:rPr>
        <w:t>§5</w:t>
      </w:r>
    </w:p>
    <w:p>
      <w:pPr>
        <w:pStyle w:val="Standard"/>
        <w:jc w:val="center"/>
        <w:rPr>
          <w:rFonts w:cs="Times New Roman"/>
          <w:b/>
          <w:b/>
          <w:color w:val="000000"/>
          <w:sz w:val="22"/>
          <w:szCs w:val="22"/>
        </w:rPr>
      </w:pPr>
      <w:r>
        <w:rPr>
          <w:rFonts w:cs="Times New Roman"/>
          <w:b/>
          <w:color w:val="000000"/>
          <w:sz w:val="22"/>
          <w:szCs w:val="22"/>
        </w:rPr>
        <w:t>Dalsze powierzenie danych do przetwarzania</w:t>
      </w:r>
    </w:p>
    <w:p>
      <w:pPr>
        <w:pStyle w:val="ListParagraph"/>
        <w:widowControl w:val="false"/>
        <w:numPr>
          <w:ilvl w:val="0"/>
          <w:numId w:val="15"/>
        </w:numPr>
        <w:suppressAutoHyphens w:val="true"/>
        <w:spacing w:before="0" w:after="160"/>
        <w:jc w:val="both"/>
        <w:textAlignment w:val="baseline"/>
        <w:rPr>
          <w:color w:val="000000"/>
          <w:sz w:val="22"/>
          <w:szCs w:val="22"/>
        </w:rPr>
      </w:pPr>
      <w:r>
        <w:rPr>
          <w:color w:val="000000"/>
          <w:sz w:val="22"/>
          <w:szCs w:val="22"/>
        </w:rPr>
        <w:t xml:space="preserve">Podmiot przetwarzający może powierzyć dane osobowe objęte niniejszym Porozumieniem do dalszego przetwarzania podwykonawcom jedynie w celu wykonania umowy po uzyskaniu uprzedniej pisemnej zgody Administratora danych.  </w:t>
      </w:r>
    </w:p>
    <w:p>
      <w:pPr>
        <w:pStyle w:val="ListParagraph"/>
        <w:widowControl w:val="false"/>
        <w:numPr>
          <w:ilvl w:val="0"/>
          <w:numId w:val="8"/>
        </w:numPr>
        <w:suppressAutoHyphens w:val="true"/>
        <w:spacing w:before="0" w:after="160"/>
        <w:jc w:val="both"/>
        <w:textAlignment w:val="baseline"/>
        <w:rPr>
          <w:color w:val="000000"/>
          <w:sz w:val="22"/>
          <w:szCs w:val="22"/>
        </w:rPr>
      </w:pPr>
      <w:r>
        <w:rPr>
          <w:color w:val="000000"/>
          <w:sz w:val="22"/>
          <w:szCs w:val="22"/>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pPr>
        <w:pStyle w:val="ListParagraph"/>
        <w:widowControl w:val="false"/>
        <w:numPr>
          <w:ilvl w:val="0"/>
          <w:numId w:val="8"/>
        </w:numPr>
        <w:suppressAutoHyphens w:val="true"/>
        <w:spacing w:before="0" w:after="160"/>
        <w:jc w:val="both"/>
        <w:textAlignment w:val="baseline"/>
        <w:rPr>
          <w:color w:val="000000"/>
          <w:sz w:val="22"/>
          <w:szCs w:val="22"/>
        </w:rPr>
      </w:pPr>
      <w:r>
        <w:rPr>
          <w:color w:val="000000"/>
          <w:sz w:val="22"/>
          <w:szCs w:val="22"/>
        </w:rPr>
        <w:t>Podwykonawca, o którym mowa w §3 ust. 2 Porozumienia winien spełniać te same gwarancje i obowiązki jakie zostały nałożone na Podmiot przetwarzający w niniejszym Porozumieniu.</w:t>
      </w:r>
    </w:p>
    <w:p>
      <w:pPr>
        <w:pStyle w:val="ListParagraph"/>
        <w:widowControl w:val="false"/>
        <w:numPr>
          <w:ilvl w:val="0"/>
          <w:numId w:val="8"/>
        </w:numPr>
        <w:suppressAutoHyphens w:val="true"/>
        <w:spacing w:before="0" w:after="160"/>
        <w:jc w:val="both"/>
        <w:textAlignment w:val="baseline"/>
        <w:rPr>
          <w:color w:val="000000"/>
          <w:sz w:val="22"/>
          <w:szCs w:val="22"/>
        </w:rPr>
      </w:pPr>
      <w:r>
        <w:rPr>
          <w:color w:val="000000"/>
          <w:sz w:val="22"/>
          <w:szCs w:val="22"/>
        </w:rPr>
        <w:t>Podmiot przetwarzający ponosi pełną odpowiedzialność wobec Administratora za nie wywiązanie się ze spoczywających na podwykonawcy obowiązków ochrony danych.</w:t>
      </w:r>
    </w:p>
    <w:p>
      <w:pPr>
        <w:pStyle w:val="Standard"/>
        <w:jc w:val="center"/>
        <w:rPr>
          <w:rFonts w:cs="Times New Roman"/>
          <w:b/>
          <w:b/>
          <w:color w:val="000000"/>
          <w:sz w:val="22"/>
          <w:szCs w:val="22"/>
        </w:rPr>
      </w:pPr>
      <w:r>
        <w:rPr>
          <w:rFonts w:cs="Times New Roman"/>
          <w:b/>
          <w:color w:val="000000"/>
          <w:sz w:val="22"/>
          <w:szCs w:val="22"/>
        </w:rPr>
        <w:t>§ 6</w:t>
      </w:r>
    </w:p>
    <w:p>
      <w:pPr>
        <w:pStyle w:val="Standard"/>
        <w:jc w:val="center"/>
        <w:rPr>
          <w:rFonts w:cs="Times New Roman"/>
          <w:b/>
          <w:b/>
          <w:color w:val="000000"/>
          <w:sz w:val="22"/>
          <w:szCs w:val="22"/>
        </w:rPr>
      </w:pPr>
      <w:r>
        <w:rPr>
          <w:rFonts w:cs="Times New Roman"/>
          <w:b/>
          <w:color w:val="000000"/>
          <w:sz w:val="22"/>
          <w:szCs w:val="22"/>
        </w:rPr>
        <w:t>Odpowiedzialność Podmiotu przetwarzającego</w:t>
      </w:r>
    </w:p>
    <w:p>
      <w:pPr>
        <w:pStyle w:val="ListParagraph"/>
        <w:widowControl w:val="false"/>
        <w:numPr>
          <w:ilvl w:val="0"/>
          <w:numId w:val="16"/>
        </w:numPr>
        <w:suppressAutoHyphens w:val="true"/>
        <w:spacing w:before="0" w:after="160"/>
        <w:jc w:val="both"/>
        <w:textAlignment w:val="baseline"/>
        <w:rPr>
          <w:color w:val="000000"/>
          <w:sz w:val="22"/>
          <w:szCs w:val="22"/>
        </w:rPr>
      </w:pPr>
      <w:r>
        <w:rPr>
          <w:color w:val="000000"/>
          <w:sz w:val="22"/>
          <w:szCs w:val="22"/>
        </w:rPr>
        <w:t>Podmiot przetwarzający jest odpowiedzialny za udostępnienie lub wykorzystanie danych osobowych niezgodnie z treścią Porozumienia, a w szczególności za udostępnienie powierzonych do przetwarzania danych osobowych osobom nieupoważnionym.</w:t>
      </w:r>
    </w:p>
    <w:p>
      <w:pPr>
        <w:pStyle w:val="ListParagraph"/>
        <w:widowControl w:val="false"/>
        <w:numPr>
          <w:ilvl w:val="0"/>
          <w:numId w:val="9"/>
        </w:numPr>
        <w:suppressAutoHyphens w:val="true"/>
        <w:spacing w:before="0" w:after="160"/>
        <w:jc w:val="both"/>
        <w:textAlignment w:val="baseline"/>
        <w:rPr>
          <w:color w:val="000000"/>
          <w:sz w:val="22"/>
          <w:szCs w:val="22"/>
        </w:rPr>
      </w:pPr>
      <w:r>
        <w:rPr>
          <w:color w:val="000000"/>
          <w:sz w:val="22"/>
          <w:szCs w:val="22"/>
        </w:rPr>
        <w:t>W przypadku naruszenia przepisów ustawy lub niniejszego Porozumienia z przyczyn leżących po stronie Podmiotu przetwarzającego, w następstwie czego Administrator danych osobowych zostanie zobowiązany do wypłaty odszkodowania lub zostanie ukarany karą grzywny, Podmiot przetwarzający zobowiązuje się pokryć Administratorowi poniesione z tego tytułu koszty.</w:t>
      </w:r>
    </w:p>
    <w:p>
      <w:pPr>
        <w:pStyle w:val="ListParagraph"/>
        <w:widowControl w:val="false"/>
        <w:numPr>
          <w:ilvl w:val="0"/>
          <w:numId w:val="9"/>
        </w:numPr>
        <w:suppressAutoHyphens w:val="true"/>
        <w:spacing w:before="0" w:after="160"/>
        <w:jc w:val="both"/>
        <w:textAlignment w:val="baseline"/>
        <w:rPr>
          <w:color w:val="000000"/>
          <w:sz w:val="22"/>
          <w:szCs w:val="22"/>
        </w:rPr>
      </w:pPr>
      <w:r>
        <w:rPr>
          <w:color w:val="000000"/>
          <w:sz w:val="22"/>
          <w:szCs w:val="22"/>
        </w:rPr>
        <w:t>Podmiot przetwarzający zobowiązuje się do niezwłocznego poinformowania Administratora danych o jakimkolwiek postępowaniu, w szczególności administracyjnym lub sądowym, dotyczącym przetwarzania przez Podmiot przetwarzający danych osobowych określonych w porozumieniu,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pPr>
        <w:pStyle w:val="Standard"/>
        <w:jc w:val="center"/>
        <w:rPr>
          <w:rFonts w:cs="Times New Roman"/>
          <w:b/>
          <w:b/>
          <w:color w:val="000000"/>
          <w:sz w:val="22"/>
          <w:szCs w:val="22"/>
        </w:rPr>
      </w:pPr>
      <w:r>
        <w:rPr>
          <w:rFonts w:cs="Times New Roman"/>
          <w:b/>
          <w:color w:val="000000"/>
          <w:sz w:val="22"/>
          <w:szCs w:val="22"/>
        </w:rPr>
      </w:r>
    </w:p>
    <w:p>
      <w:pPr>
        <w:pStyle w:val="Standard"/>
        <w:jc w:val="center"/>
        <w:rPr>
          <w:rFonts w:cs="Times New Roman"/>
          <w:b/>
          <w:b/>
          <w:color w:val="000000"/>
          <w:sz w:val="22"/>
          <w:szCs w:val="22"/>
        </w:rPr>
      </w:pPr>
      <w:r>
        <w:rPr>
          <w:rFonts w:cs="Times New Roman"/>
          <w:b/>
          <w:color w:val="000000"/>
          <w:sz w:val="22"/>
          <w:szCs w:val="22"/>
        </w:rPr>
        <w:t>§7</w:t>
      </w:r>
    </w:p>
    <w:p>
      <w:pPr>
        <w:pStyle w:val="Standard"/>
        <w:jc w:val="center"/>
        <w:rPr>
          <w:rFonts w:cs="Times New Roman"/>
          <w:b/>
          <w:b/>
          <w:color w:val="000000"/>
          <w:sz w:val="22"/>
          <w:szCs w:val="22"/>
        </w:rPr>
      </w:pPr>
      <w:r>
        <w:rPr>
          <w:rFonts w:cs="Times New Roman"/>
          <w:b/>
          <w:color w:val="000000"/>
          <w:sz w:val="22"/>
          <w:szCs w:val="22"/>
        </w:rPr>
        <w:t>Czas obowiązywania umowy</w:t>
      </w:r>
    </w:p>
    <w:p>
      <w:pPr>
        <w:pStyle w:val="ListParagraph"/>
        <w:widowControl w:val="false"/>
        <w:numPr>
          <w:ilvl w:val="0"/>
          <w:numId w:val="17"/>
        </w:numPr>
        <w:suppressAutoHyphens w:val="true"/>
        <w:spacing w:before="0" w:after="160"/>
        <w:ind w:left="0" w:hanging="360"/>
        <w:jc w:val="both"/>
        <w:textAlignment w:val="baseline"/>
        <w:rPr>
          <w:sz w:val="22"/>
          <w:szCs w:val="22"/>
        </w:rPr>
      </w:pPr>
      <w:r>
        <w:rPr>
          <w:color w:val="000000"/>
          <w:sz w:val="22"/>
          <w:szCs w:val="22"/>
        </w:rPr>
        <w:t xml:space="preserve">Niniejsze Porozumienie obowiązuje na czas określony od dnia jego zawarcia do dnia </w:t>
      </w:r>
      <w:r>
        <w:rPr>
          <w:b/>
          <w:bCs/>
          <w:color w:val="000000"/>
          <w:sz w:val="22"/>
          <w:szCs w:val="22"/>
        </w:rPr>
        <w:t>………………… r.</w:t>
      </w:r>
    </w:p>
    <w:p>
      <w:pPr>
        <w:pStyle w:val="ListParagraph"/>
        <w:widowControl w:val="false"/>
        <w:numPr>
          <w:ilvl w:val="0"/>
          <w:numId w:val="1"/>
        </w:numPr>
        <w:suppressAutoHyphens w:val="true"/>
        <w:spacing w:before="0" w:after="160"/>
        <w:ind w:left="720" w:hanging="360"/>
        <w:jc w:val="both"/>
        <w:textAlignment w:val="baseline"/>
        <w:rPr>
          <w:color w:val="000000"/>
          <w:sz w:val="22"/>
          <w:szCs w:val="22"/>
        </w:rPr>
      </w:pPr>
      <w:r>
        <w:rPr>
          <w:color w:val="000000"/>
          <w:sz w:val="22"/>
          <w:szCs w:val="22"/>
        </w:rPr>
        <w:t>Każda ze stron może wypowiedzieć niniejsze Porozumienie z zachowaniem jednomiesięcznego okresu wypowiedzenia.</w:t>
      </w:r>
    </w:p>
    <w:p>
      <w:pPr>
        <w:pStyle w:val="Standard"/>
        <w:jc w:val="center"/>
        <w:rPr>
          <w:rFonts w:cs="Times New Roman"/>
          <w:b/>
          <w:b/>
          <w:color w:val="000000"/>
          <w:sz w:val="22"/>
          <w:szCs w:val="22"/>
        </w:rPr>
      </w:pPr>
      <w:r>
        <w:rPr>
          <w:rFonts w:cs="Times New Roman"/>
          <w:b/>
          <w:color w:val="000000"/>
          <w:sz w:val="22"/>
          <w:szCs w:val="22"/>
        </w:rPr>
      </w:r>
    </w:p>
    <w:p>
      <w:pPr>
        <w:pStyle w:val="Standard"/>
        <w:jc w:val="center"/>
        <w:rPr>
          <w:rFonts w:cs="Times New Roman"/>
          <w:b/>
          <w:b/>
          <w:color w:val="000000"/>
          <w:sz w:val="22"/>
          <w:szCs w:val="22"/>
        </w:rPr>
      </w:pPr>
      <w:r>
        <w:rPr>
          <w:rFonts w:cs="Times New Roman"/>
          <w:b/>
          <w:color w:val="000000"/>
          <w:sz w:val="22"/>
          <w:szCs w:val="22"/>
        </w:rPr>
      </w:r>
    </w:p>
    <w:p>
      <w:pPr>
        <w:pStyle w:val="Standard"/>
        <w:jc w:val="center"/>
        <w:rPr>
          <w:rFonts w:cs="Times New Roman"/>
          <w:b/>
          <w:b/>
          <w:color w:val="000000"/>
          <w:sz w:val="22"/>
          <w:szCs w:val="22"/>
        </w:rPr>
      </w:pPr>
      <w:r>
        <w:rPr>
          <w:rFonts w:cs="Times New Roman"/>
          <w:b/>
          <w:color w:val="000000"/>
          <w:sz w:val="22"/>
          <w:szCs w:val="22"/>
        </w:rPr>
        <w:t>§8</w:t>
      </w:r>
    </w:p>
    <w:p>
      <w:pPr>
        <w:pStyle w:val="Standard"/>
        <w:jc w:val="center"/>
        <w:rPr>
          <w:rFonts w:cs="Times New Roman"/>
          <w:b/>
          <w:b/>
          <w:color w:val="000000"/>
          <w:sz w:val="22"/>
          <w:szCs w:val="22"/>
        </w:rPr>
      </w:pPr>
      <w:r>
        <w:rPr>
          <w:rFonts w:cs="Times New Roman"/>
          <w:b/>
          <w:color w:val="000000"/>
          <w:sz w:val="22"/>
          <w:szCs w:val="22"/>
        </w:rPr>
        <w:t>Rozwiązanie Porozumienia</w:t>
      </w:r>
    </w:p>
    <w:p>
      <w:pPr>
        <w:pStyle w:val="ListParagraph"/>
        <w:widowControl w:val="false"/>
        <w:numPr>
          <w:ilvl w:val="0"/>
          <w:numId w:val="18"/>
        </w:numPr>
        <w:suppressAutoHyphens w:val="true"/>
        <w:spacing w:before="0" w:after="160"/>
        <w:textAlignment w:val="baseline"/>
        <w:rPr>
          <w:color w:val="000000"/>
          <w:sz w:val="22"/>
          <w:szCs w:val="22"/>
        </w:rPr>
      </w:pPr>
      <w:r>
        <w:rPr>
          <w:color w:val="000000"/>
          <w:sz w:val="22"/>
          <w:szCs w:val="22"/>
        </w:rPr>
        <w:t>Administrator danych może rozwiązać niniejsze Porozumienie ze skutkiem natychmiastowym gdy Podmiot przetwarzający:</w:t>
      </w:r>
    </w:p>
    <w:p>
      <w:pPr>
        <w:pStyle w:val="ListParagraph"/>
        <w:widowControl w:val="false"/>
        <w:numPr>
          <w:ilvl w:val="0"/>
          <w:numId w:val="19"/>
        </w:numPr>
        <w:suppressAutoHyphens w:val="true"/>
        <w:spacing w:before="0" w:after="160"/>
        <w:ind w:left="0" w:hanging="360"/>
        <w:textAlignment w:val="baseline"/>
        <w:rPr>
          <w:color w:val="000000"/>
          <w:sz w:val="22"/>
          <w:szCs w:val="22"/>
        </w:rPr>
      </w:pPr>
      <w:r>
        <w:rPr>
          <w:color w:val="000000"/>
          <w:sz w:val="22"/>
          <w:szCs w:val="22"/>
        </w:rPr>
        <w:t>pomimo zobowiązania go do usunięcia uchybień stwierdzonych podczas kontroli nie usunie ich w wyznaczonym terminie;</w:t>
      </w:r>
    </w:p>
    <w:p>
      <w:pPr>
        <w:pStyle w:val="ListParagraph"/>
        <w:widowControl w:val="false"/>
        <w:numPr>
          <w:ilvl w:val="0"/>
          <w:numId w:val="3"/>
        </w:numPr>
        <w:suppressAutoHyphens w:val="true"/>
        <w:spacing w:before="0" w:after="160"/>
        <w:ind w:left="1080" w:hanging="360"/>
        <w:textAlignment w:val="baseline"/>
        <w:rPr>
          <w:color w:val="000000"/>
          <w:sz w:val="22"/>
          <w:szCs w:val="22"/>
        </w:rPr>
      </w:pPr>
      <w:r>
        <w:rPr>
          <w:color w:val="000000"/>
          <w:sz w:val="22"/>
          <w:szCs w:val="22"/>
        </w:rPr>
        <w:t>przetwarza dane osobowe w sposób niezgodny z Porozumieniem;</w:t>
      </w:r>
    </w:p>
    <w:p>
      <w:pPr>
        <w:pStyle w:val="ListParagraph"/>
        <w:widowControl w:val="false"/>
        <w:numPr>
          <w:ilvl w:val="0"/>
          <w:numId w:val="3"/>
        </w:numPr>
        <w:suppressAutoHyphens w:val="true"/>
        <w:spacing w:before="0" w:after="160"/>
        <w:ind w:left="1080" w:hanging="360"/>
        <w:textAlignment w:val="baseline"/>
        <w:rPr>
          <w:color w:val="000000"/>
          <w:sz w:val="22"/>
          <w:szCs w:val="22"/>
        </w:rPr>
      </w:pPr>
      <w:r>
        <w:rPr>
          <w:color w:val="000000"/>
          <w:sz w:val="22"/>
          <w:szCs w:val="22"/>
        </w:rPr>
        <w:t>powierzył przetwarzanie danych osobowych innemu podmiotowi bez zgody Administratora danych;</w:t>
      </w:r>
    </w:p>
    <w:p>
      <w:pPr>
        <w:pStyle w:val="Standard"/>
        <w:jc w:val="center"/>
        <w:rPr>
          <w:rFonts w:cs="Times New Roman"/>
          <w:b/>
          <w:b/>
          <w:color w:val="000000"/>
          <w:sz w:val="22"/>
          <w:szCs w:val="22"/>
        </w:rPr>
      </w:pPr>
      <w:r>
        <w:rPr>
          <w:rFonts w:cs="Times New Roman"/>
          <w:b/>
          <w:color w:val="000000"/>
          <w:sz w:val="22"/>
          <w:szCs w:val="22"/>
        </w:rPr>
        <w:t>§9</w:t>
      </w:r>
    </w:p>
    <w:p>
      <w:pPr>
        <w:pStyle w:val="Standard"/>
        <w:jc w:val="center"/>
        <w:rPr>
          <w:rFonts w:cs="Times New Roman"/>
          <w:b/>
          <w:b/>
          <w:color w:val="000000"/>
          <w:sz w:val="22"/>
          <w:szCs w:val="22"/>
        </w:rPr>
      </w:pPr>
      <w:r>
        <w:rPr>
          <w:rFonts w:cs="Times New Roman"/>
          <w:b/>
          <w:color w:val="000000"/>
          <w:sz w:val="22"/>
          <w:szCs w:val="22"/>
        </w:rPr>
        <w:t>Zasady zachowania poufności</w:t>
      </w:r>
    </w:p>
    <w:p>
      <w:pPr>
        <w:pStyle w:val="ListParagraph"/>
        <w:widowControl w:val="false"/>
        <w:numPr>
          <w:ilvl w:val="0"/>
          <w:numId w:val="20"/>
        </w:numPr>
        <w:suppressAutoHyphens w:val="true"/>
        <w:spacing w:before="0" w:after="160"/>
        <w:jc w:val="both"/>
        <w:textAlignment w:val="baseline"/>
        <w:rPr>
          <w:color w:val="000000"/>
          <w:sz w:val="22"/>
          <w:szCs w:val="22"/>
        </w:rPr>
      </w:pPr>
      <w:r>
        <w:rPr>
          <w:color w:val="000000"/>
          <w:sz w:val="22"/>
          <w:szCs w:val="22"/>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pPr>
        <w:pStyle w:val="ListParagraph"/>
        <w:widowControl w:val="false"/>
        <w:numPr>
          <w:ilvl w:val="0"/>
          <w:numId w:val="10"/>
        </w:numPr>
        <w:suppressAutoHyphens w:val="true"/>
        <w:spacing w:before="0" w:after="160"/>
        <w:jc w:val="both"/>
        <w:textAlignment w:val="baseline"/>
        <w:rPr>
          <w:color w:val="000000"/>
          <w:sz w:val="22"/>
          <w:szCs w:val="22"/>
        </w:rPr>
      </w:pPr>
      <w:r>
        <w:rPr>
          <w:color w:val="000000"/>
          <w:sz w:val="22"/>
          <w:szCs w:val="22"/>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pPr>
        <w:pStyle w:val="ListParagraph"/>
        <w:widowControl w:val="false"/>
        <w:numPr>
          <w:ilvl w:val="0"/>
          <w:numId w:val="10"/>
        </w:numPr>
        <w:suppressAutoHyphens w:val="true"/>
        <w:spacing w:before="0" w:after="160"/>
        <w:jc w:val="both"/>
        <w:textAlignment w:val="baseline"/>
        <w:rPr>
          <w:color w:val="000000"/>
          <w:sz w:val="22"/>
          <w:szCs w:val="22"/>
        </w:rPr>
      </w:pPr>
      <w:r>
        <w:rPr>
          <w:color w:val="000000"/>
          <w:sz w:val="22"/>
          <w:szCs w:val="22"/>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pPr>
        <w:pStyle w:val="ListParagraph"/>
        <w:jc w:val="both"/>
        <w:rPr>
          <w:color w:val="000000"/>
          <w:sz w:val="22"/>
          <w:szCs w:val="22"/>
        </w:rPr>
      </w:pPr>
      <w:r>
        <w:rPr>
          <w:color w:val="000000"/>
          <w:sz w:val="22"/>
          <w:szCs w:val="22"/>
        </w:rPr>
      </w:r>
    </w:p>
    <w:p>
      <w:pPr>
        <w:pStyle w:val="Standard"/>
        <w:jc w:val="center"/>
        <w:rPr>
          <w:rFonts w:cs="Times New Roman"/>
          <w:b/>
          <w:b/>
          <w:color w:val="000000"/>
          <w:sz w:val="22"/>
          <w:szCs w:val="22"/>
        </w:rPr>
      </w:pPr>
      <w:r>
        <w:rPr>
          <w:rFonts w:cs="Times New Roman"/>
          <w:b/>
          <w:color w:val="000000"/>
          <w:sz w:val="22"/>
          <w:szCs w:val="22"/>
        </w:rPr>
        <w:t>§10</w:t>
      </w:r>
    </w:p>
    <w:p>
      <w:pPr>
        <w:pStyle w:val="Standard"/>
        <w:jc w:val="center"/>
        <w:rPr>
          <w:rFonts w:cs="Times New Roman"/>
          <w:b/>
          <w:b/>
          <w:color w:val="000000"/>
          <w:sz w:val="22"/>
          <w:szCs w:val="22"/>
        </w:rPr>
      </w:pPr>
      <w:r>
        <w:rPr>
          <w:rFonts w:cs="Times New Roman"/>
          <w:b/>
          <w:color w:val="000000"/>
          <w:sz w:val="22"/>
          <w:szCs w:val="22"/>
        </w:rPr>
        <w:t>Postanowienia końcowe</w:t>
      </w:r>
    </w:p>
    <w:p>
      <w:pPr>
        <w:pStyle w:val="ListParagraph"/>
        <w:widowControl w:val="false"/>
        <w:numPr>
          <w:ilvl w:val="0"/>
          <w:numId w:val="21"/>
        </w:numPr>
        <w:suppressAutoHyphens w:val="true"/>
        <w:spacing w:before="0" w:after="160"/>
        <w:ind w:left="0" w:hanging="360"/>
        <w:jc w:val="both"/>
        <w:textAlignment w:val="baseline"/>
        <w:rPr>
          <w:color w:val="000000"/>
          <w:sz w:val="22"/>
          <w:szCs w:val="22"/>
        </w:rPr>
      </w:pPr>
      <w:r>
        <w:rPr>
          <w:color w:val="000000"/>
          <w:sz w:val="22"/>
          <w:szCs w:val="22"/>
        </w:rPr>
        <w:t>Porozumienie zostało sporządzone w dwóch jednobrzmiących egzemplarzach dla każdej ze stron.</w:t>
      </w:r>
    </w:p>
    <w:p>
      <w:pPr>
        <w:pStyle w:val="ListParagraph"/>
        <w:widowControl w:val="false"/>
        <w:numPr>
          <w:ilvl w:val="0"/>
          <w:numId w:val="4"/>
        </w:numPr>
        <w:suppressAutoHyphens w:val="true"/>
        <w:spacing w:before="0" w:after="160"/>
        <w:ind w:left="720" w:hanging="360"/>
        <w:jc w:val="both"/>
        <w:textAlignment w:val="baseline"/>
        <w:rPr>
          <w:color w:val="000000"/>
          <w:sz w:val="22"/>
          <w:szCs w:val="22"/>
        </w:rPr>
      </w:pPr>
      <w:r>
        <w:rPr>
          <w:color w:val="000000"/>
          <w:sz w:val="22"/>
          <w:szCs w:val="22"/>
        </w:rPr>
        <w:t>W sprawach nieuregulowanych zastosowanie będą miały przepisy Kodeksu cywilnego oraz Rozporządzenia.</w:t>
      </w:r>
    </w:p>
    <w:p>
      <w:pPr>
        <w:pStyle w:val="ListParagraph"/>
        <w:widowControl w:val="false"/>
        <w:numPr>
          <w:ilvl w:val="0"/>
          <w:numId w:val="4"/>
        </w:numPr>
        <w:suppressAutoHyphens w:val="true"/>
        <w:spacing w:before="0" w:after="160"/>
        <w:ind w:left="720" w:hanging="360"/>
        <w:jc w:val="both"/>
        <w:textAlignment w:val="baseline"/>
        <w:rPr>
          <w:color w:val="000000"/>
          <w:sz w:val="22"/>
          <w:szCs w:val="22"/>
        </w:rPr>
      </w:pPr>
      <w:r>
        <w:rPr>
          <w:color w:val="000000"/>
          <w:sz w:val="22"/>
          <w:szCs w:val="22"/>
        </w:rPr>
        <w:t>Sądem właściwym dla rozpatrzenia sporów wynikających z niniejszego Porozumienia  będzie Sąd właściwy Podmiotu Przetwarzającego.</w:t>
      </w:r>
    </w:p>
    <w:p>
      <w:pPr>
        <w:pStyle w:val="Standard"/>
        <w:jc w:val="center"/>
        <w:rPr>
          <w:rFonts w:cs="Times New Roman"/>
          <w:color w:val="000000"/>
          <w:sz w:val="22"/>
          <w:szCs w:val="22"/>
        </w:rPr>
      </w:pPr>
      <w:r>
        <w:rPr>
          <w:rFonts w:cs="Times New Roman"/>
          <w:color w:val="000000"/>
          <w:sz w:val="22"/>
          <w:szCs w:val="22"/>
        </w:rPr>
      </w:r>
    </w:p>
    <w:p>
      <w:pPr>
        <w:pStyle w:val="Standard"/>
        <w:jc w:val="center"/>
        <w:rPr>
          <w:rFonts w:cs="Times New Roman"/>
          <w:color w:val="000000"/>
          <w:sz w:val="22"/>
          <w:szCs w:val="22"/>
        </w:rPr>
      </w:pPr>
      <w:r>
        <w:rPr>
          <w:rFonts w:cs="Times New Roman"/>
          <w:color w:val="000000"/>
          <w:sz w:val="22"/>
          <w:szCs w:val="22"/>
        </w:rPr>
      </w:r>
    </w:p>
    <w:p>
      <w:pPr>
        <w:pStyle w:val="Standard"/>
        <w:rPr>
          <w:rFonts w:cs="Times New Roman"/>
          <w:color w:val="000000"/>
          <w:sz w:val="22"/>
          <w:szCs w:val="22"/>
        </w:rPr>
      </w:pPr>
      <w:r>
        <w:rPr>
          <w:rFonts w:cs="Times New Roman"/>
          <w:color w:val="000000"/>
          <w:sz w:val="22"/>
          <w:szCs w:val="22"/>
        </w:rPr>
        <w:t xml:space="preserve">_______________________                                                         </w:t>
        <w:tab/>
        <w:tab/>
        <w:tab/>
        <w:t xml:space="preserve">   ____________________</w:t>
      </w:r>
    </w:p>
    <w:p>
      <w:pPr>
        <w:pStyle w:val="Standard"/>
        <w:jc w:val="center"/>
        <w:rPr>
          <w:rFonts w:cs="Times New Roman"/>
          <w:color w:val="000000"/>
          <w:sz w:val="22"/>
          <w:szCs w:val="22"/>
        </w:rPr>
      </w:pPr>
      <w:r>
        <w:rPr>
          <w:rFonts w:cs="Times New Roman"/>
          <w:color w:val="000000"/>
          <w:sz w:val="22"/>
          <w:szCs w:val="22"/>
        </w:rPr>
        <w:t xml:space="preserve">Administrator danych </w:t>
        <w:tab/>
        <w:tab/>
        <w:tab/>
        <w:tab/>
        <w:tab/>
        <w:tab/>
        <w:tab/>
        <w:tab/>
        <w:t>Podmiot przetwarzający</w:t>
      </w:r>
    </w:p>
    <w:p>
      <w:pPr>
        <w:pStyle w:val="Normal"/>
        <w:suppressAutoHyphens w:val="true"/>
        <w:jc w:val="both"/>
        <w:rPr>
          <w:rFonts w:eastAsia="TimesNewRoman"/>
          <w:b/>
          <w:b/>
          <w:color w:val="000000"/>
          <w:sz w:val="22"/>
          <w:szCs w:val="22"/>
          <w:lang w:eastAsia="ar-SA"/>
        </w:rPr>
      </w:pPr>
      <w:r>
        <w:rPr>
          <w:rFonts w:eastAsia="TimesNewRoman"/>
          <w:b/>
          <w:color w:val="000000"/>
          <w:sz w:val="22"/>
          <w:szCs w:val="22"/>
          <w:lang w:eastAsia="ar-SA"/>
        </w:rPr>
      </w:r>
    </w:p>
    <w:p>
      <w:pPr>
        <w:pStyle w:val="Normal"/>
        <w:rPr/>
      </w:pPr>
      <w:r>
        <w:rPr/>
      </w:r>
    </w:p>
    <w:sectPr>
      <w:headerReference w:type="default" r:id="rId2"/>
      <w:headerReference w:type="first" r:id="rId3"/>
      <w:footerReference w:type="default" r:id="rId4"/>
      <w:footerReference w:type="first" r:id="rId5"/>
      <w:type w:val="nextPage"/>
      <w:pgSz w:w="11906" w:h="16838"/>
      <w:pgMar w:left="851" w:right="851" w:header="851" w:top="908" w:footer="397" w:bottom="851"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szCs w:val="20"/>
        <w:u w:val="single"/>
      </w:rPr>
    </w:pPr>
    <w:r>
      <w:rPr>
        <w:sz w:val="20"/>
        <w:szCs w:val="20"/>
        <w:u w:val="single"/>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sz w:val="20"/>
        <w:szCs w:val="20"/>
        <w:u w:val="single"/>
      </w:rPr>
    </w:pPr>
    <w:r>
      <w:rPr>
        <w:sz w:val="20"/>
        <w:szCs w:val="20"/>
        <w:u w:val="single"/>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0" w:hanging="0"/>
      </w:pPr>
      <w:rPr>
        <w:vertAlign w:val="baseline"/>
        <w:position w:val="0"/>
        <w:sz w:val="22"/>
        <w:sz w:val="22"/>
        <w:b/>
        <w:szCs w:val="24"/>
        <w:rFonts w:eastAsia="Times New Roman" w:cs="Calibri"/>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2">
    <w:lvl w:ilvl="0">
      <w:start w:val="32"/>
      <w:numFmt w:val="decimal"/>
      <w:lvlText w:val="%1."/>
      <w:lvlJc w:val="left"/>
      <w:pPr>
        <w:ind w:left="0" w:hanging="0"/>
      </w:pPr>
      <w:rPr>
        <w:sz w:val="22"/>
        <w:b/>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3">
    <w:lvl w:ilvl="0">
      <w:start w:val="61"/>
      <w:numFmt w:val="decimal"/>
      <w:lvlText w:val="%1."/>
      <w:lvlJc w:val="left"/>
      <w:pPr>
        <w:ind w:left="0" w:hanging="0"/>
      </w:pPr>
      <w:rPr>
        <w:sz w:val="22"/>
        <w:b/>
        <w:rFonts w:eastAsia="Times New Roman"/>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4">
    <w:lvl w:ilvl="0">
      <w:start w:val="1"/>
      <w:numFmt w:val="decimal"/>
      <w:lvlText w:val="%1."/>
      <w:lvlJc w:val="left"/>
      <w:pPr>
        <w:ind w:left="0" w:hanging="0"/>
      </w:pPr>
      <w:rPr>
        <w:sz w:val="22"/>
        <w:b/>
      </w:rPr>
    </w:lvl>
    <w:lvl w:ilvl="1">
      <w:start w:val="1"/>
      <w:numFmt w:val="decimal"/>
      <w:lvlText w:val="%2."/>
      <w:lvlJc w:val="left"/>
      <w:pPr>
        <w:ind w:left="0" w:hanging="0"/>
      </w:pPr>
    </w:lvl>
    <w:lvl w:ilvl="2">
      <w:start w:val="1"/>
      <w:numFmt w:val="decimal"/>
      <w:lvlText w:val="%3."/>
      <w:lvlJc w:val="left"/>
      <w:pPr>
        <w:ind w:left="0" w:hanging="0"/>
      </w:pPr>
    </w:lvl>
    <w:lvl w:ilvl="3">
      <w:start w:val="1"/>
      <w:numFmt w:val="decimal"/>
      <w:lvlText w:val="%4."/>
      <w:lvlJc w:val="left"/>
      <w:pPr>
        <w:ind w:left="0" w:hanging="0"/>
      </w:pPr>
    </w:lvl>
    <w:lvl w:ilvl="4">
      <w:start w:val="1"/>
      <w:numFmt w:val="decimal"/>
      <w:lvlText w:val="%5."/>
      <w:lvlJc w:val="left"/>
      <w:pPr>
        <w:ind w:left="0" w:hanging="0"/>
      </w:pPr>
    </w:lvl>
    <w:lvl w:ilvl="5">
      <w:start w:val="1"/>
      <w:numFmt w:val="decimal"/>
      <w:lvlText w:val="%6."/>
      <w:lvlJc w:val="left"/>
      <w:pPr>
        <w:ind w:left="0" w:hanging="0"/>
      </w:pPr>
    </w:lvl>
    <w:lvl w:ilvl="6">
      <w:start w:val="1"/>
      <w:numFmt w:val="decimal"/>
      <w:lvlText w:val="%7."/>
      <w:lvlJc w:val="left"/>
      <w:pPr>
        <w:ind w:left="0" w:hanging="0"/>
      </w:pPr>
    </w:lvl>
    <w:lvl w:ilvl="7">
      <w:start w:val="1"/>
      <w:numFmt w:val="decimal"/>
      <w:lvlText w:val="%8."/>
      <w:lvlJc w:val="left"/>
      <w:pPr>
        <w:ind w:left="0" w:hanging="0"/>
      </w:pPr>
    </w:lvl>
    <w:lvl w:ilvl="8">
      <w:start w:val="1"/>
      <w:numFmt w:val="decimal"/>
      <w:lvlText w:val="%9."/>
      <w:lvlJc w:val="left"/>
      <w:pPr>
        <w:ind w:left="0" w:hanging="0"/>
      </w:pPr>
    </w:lvl>
  </w:abstractNum>
  <w:abstractNum w:abstractNumId="5">
    <w:lvl w:ilvl="0">
      <w:start w:val="1"/>
      <w:numFmt w:val="decimal"/>
      <w:lvlText w:val="%1."/>
      <w:lvlJc w:val="left"/>
      <w:pPr>
        <w:ind w:left="720" w:hanging="360"/>
      </w:pPr>
      <w:rPr>
        <w:sz w:val="22"/>
        <w:i/>
        <w:b/>
        <w:szCs w:val="18"/>
        <w:rFonts w:cs="Tahom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decimal"/>
      <w:lvlText w:val="%1."/>
      <w:lvlJc w:val="left"/>
      <w:pPr>
        <w:ind w:left="720" w:hanging="360"/>
      </w:pPr>
      <w:rPr>
        <w:sz w:val="22"/>
        <w:i w:val="false"/>
        <w:szCs w:val="24"/>
        <w:i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rPr>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ind w:left="720" w:hanging="360"/>
      </w:pPr>
      <w:rPr>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decimal"/>
      <w:lvlText w:val="%1."/>
      <w:lvlJc w:val="left"/>
      <w:pPr>
        <w:ind w:left="720" w:hanging="360"/>
      </w:pPr>
      <w:rPr>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lvl w:ilvl="0">
      <w:start w:val="1"/>
      <w:numFmt w:val="decimal"/>
      <w:lvlText w:val="%1."/>
      <w:lvlJc w:val="left"/>
      <w:pPr>
        <w:ind w:left="720" w:hanging="360"/>
      </w:pPr>
      <w:rPr>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lvl w:ilvl="0">
      <w:start w:val="1"/>
      <w:numFmt w:val="bullet"/>
      <w:lvlText w:val=""/>
      <w:lvlJc w:val="left"/>
      <w:pPr>
        <w:tabs>
          <w:tab w:val="num" w:pos="360"/>
        </w:tabs>
        <w:ind w:left="36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decimal"/>
      <w:lvlText w:val="%1."/>
      <w:lvlJc w:val="left"/>
      <w:pPr>
        <w:ind w:left="720" w:hanging="360"/>
      </w:pPr>
      <w:rPr>
        <w:sz w:val="22"/>
        <w:i w:val="false"/>
        <w:szCs w:val="24"/>
        <w:iCs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rPr>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bullet"/>
      <w:lvlText w:val=""/>
      <w:lvlJc w:val="left"/>
      <w:pPr>
        <w:tabs>
          <w:tab w:val="num" w:pos="360"/>
        </w:tabs>
        <w:ind w:left="36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ind w:left="720" w:hanging="360"/>
      </w:pPr>
      <w:rPr>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lvl w:ilvl="0">
      <w:start w:val="1"/>
      <w:numFmt w:val="decimal"/>
      <w:lvlText w:val="%1."/>
      <w:lvlJc w:val="left"/>
      <w:pPr>
        <w:ind w:left="720" w:hanging="360"/>
      </w:pPr>
      <w:rPr>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1"/>
      <w:numFmt w:val="bullet"/>
      <w:lvlText w:val=""/>
      <w:lvlJc w:val="left"/>
      <w:pPr>
        <w:tabs>
          <w:tab w:val="num" w:pos="360"/>
        </w:tabs>
        <w:ind w:left="36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ind w:left="720" w:hanging="360"/>
      </w:pPr>
      <w:rPr>
        <w:sz w:val="22"/>
        <w:b w:val="fals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bullet"/>
      <w:lvlText w:val=""/>
      <w:lvlJc w:val="left"/>
      <w:pPr>
        <w:tabs>
          <w:tab w:val="num" w:pos="360"/>
        </w:tabs>
        <w:ind w:left="36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ind w:left="720" w:hanging="360"/>
      </w:pPr>
      <w:rPr>
        <w:sz w:val="22"/>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lvl w:ilvl="0">
      <w:start w:val="1"/>
      <w:numFmt w:val="bullet"/>
      <w:lvlText w:val=""/>
      <w:lvlJc w:val="left"/>
      <w:pPr>
        <w:tabs>
          <w:tab w:val="num" w:pos="360"/>
        </w:tabs>
        <w:ind w:left="360" w:hanging="360"/>
      </w:pPr>
      <w:rPr>
        <w:rFonts w:ascii="Symbol" w:hAnsi="Symbol" w:cs="Symbol" w:hint="default"/>
        <w:sz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651bda"/>
    <w:pPr>
      <w:widowControl/>
      <w:bidi w:val="0"/>
      <w:spacing w:lineRule="auto" w:line="240" w:before="0" w:after="0"/>
      <w:jc w:val="left"/>
    </w:pPr>
    <w:rPr>
      <w:rFonts w:ascii="Times New Roman" w:hAnsi="Times New Roman" w:eastAsia="Times New Roman" w:cs="Times New Roman"/>
      <w:color w:val="00000A"/>
      <w:sz w:val="24"/>
      <w:szCs w:val="24"/>
      <w:lang w:val="pl-PL" w:eastAsia="pl-PL" w:bidi="ar-SA"/>
    </w:rPr>
  </w:style>
  <w:style w:type="character" w:styleId="DefaultParagraphFont" w:default="1">
    <w:name w:val="Default Paragraph Font"/>
    <w:uiPriority w:val="1"/>
    <w:semiHidden/>
    <w:unhideWhenUsed/>
    <w:qFormat/>
    <w:rPr/>
  </w:style>
  <w:style w:type="character" w:styleId="StopkaZnak" w:customStyle="1">
    <w:name w:val="Stopka Znak"/>
    <w:basedOn w:val="DefaultParagraphFont"/>
    <w:link w:val="Stopka"/>
    <w:uiPriority w:val="99"/>
    <w:qFormat/>
    <w:rsid w:val="00651bda"/>
    <w:rPr>
      <w:rFonts w:ascii="Times New Roman" w:hAnsi="Times New Roman" w:eastAsia="Times New Roman" w:cs="Times New Roman"/>
      <w:sz w:val="24"/>
      <w:szCs w:val="24"/>
      <w:lang w:eastAsia="pl-PL"/>
    </w:rPr>
  </w:style>
  <w:style w:type="character" w:styleId="AkapitzlistZnak" w:customStyle="1">
    <w:name w:val="Akapit z listą Znak"/>
    <w:link w:val="Akapitzlist"/>
    <w:uiPriority w:val="34"/>
    <w:qFormat/>
    <w:locked/>
    <w:rsid w:val="00651bda"/>
    <w:rPr>
      <w:rFonts w:ascii="Times New Roman" w:hAnsi="Times New Roman" w:eastAsia="SimSun" w:cs="Times New Roman"/>
      <w:sz w:val="24"/>
      <w:szCs w:val="24"/>
      <w:lang w:eastAsia="zh-CN"/>
    </w:rPr>
  </w:style>
  <w:style w:type="character" w:styleId="NagwekZnak" w:customStyle="1">
    <w:name w:val="Nagłówek Znak"/>
    <w:basedOn w:val="DefaultParagraphFont"/>
    <w:link w:val="Nagwek"/>
    <w:uiPriority w:val="99"/>
    <w:qFormat/>
    <w:rsid w:val="002c7888"/>
    <w:rPr>
      <w:rFonts w:ascii="Times New Roman" w:hAnsi="Times New Roman" w:eastAsia="Times New Roman" w:cs="Times New Roman"/>
      <w:sz w:val="24"/>
      <w:szCs w:val="24"/>
      <w:lang w:eastAsia="pl-PL"/>
    </w:rPr>
  </w:style>
  <w:style w:type="character" w:styleId="ListLabel1">
    <w:name w:val="ListLabel 1"/>
    <w:qFormat/>
    <w:rPr>
      <w:rFonts w:eastAsia="Times New Roman" w:cs="Calibri"/>
      <w:b/>
      <w:position w:val="0"/>
      <w:sz w:val="22"/>
      <w:sz w:val="22"/>
      <w:szCs w:val="24"/>
      <w:vertAlign w:val="baseline"/>
    </w:rPr>
  </w:style>
  <w:style w:type="character" w:styleId="ListLabel2">
    <w:name w:val="ListLabel 2"/>
    <w:qFormat/>
    <w:rPr>
      <w:b/>
      <w:sz w:val="22"/>
    </w:rPr>
  </w:style>
  <w:style w:type="character" w:styleId="ListLabel3">
    <w:name w:val="ListLabel 3"/>
    <w:qFormat/>
    <w:rPr>
      <w:rFonts w:eastAsia="Times New Roman"/>
      <w:b/>
      <w:sz w:val="22"/>
    </w:rPr>
  </w:style>
  <w:style w:type="character" w:styleId="ListLabel4">
    <w:name w:val="ListLabel 4"/>
    <w:qFormat/>
    <w:rPr>
      <w:b/>
      <w:sz w:val="22"/>
    </w:rPr>
  </w:style>
  <w:style w:type="character" w:styleId="ListLabel5">
    <w:name w:val="ListLabel 5"/>
    <w:qFormat/>
    <w:rPr>
      <w:rFonts w:cs="Tahoma"/>
      <w:b/>
      <w:i/>
      <w:sz w:val="22"/>
      <w:szCs w:val="18"/>
    </w:rPr>
  </w:style>
  <w:style w:type="character" w:styleId="ListLabel6">
    <w:name w:val="ListLabel 6"/>
    <w:qFormat/>
    <w:rPr>
      <w:i w:val="false"/>
      <w:iCs w:val="false"/>
      <w:sz w:val="22"/>
      <w:szCs w:val="24"/>
    </w:rPr>
  </w:style>
  <w:style w:type="character" w:styleId="ListLabel7">
    <w:name w:val="ListLabel 7"/>
    <w:qFormat/>
    <w:rPr>
      <w:sz w:val="22"/>
      <w:szCs w:val="24"/>
    </w:rPr>
  </w:style>
  <w:style w:type="character" w:styleId="ListLabel8">
    <w:name w:val="ListLabel 8"/>
    <w:qFormat/>
    <w:rPr>
      <w:sz w:val="22"/>
      <w:szCs w:val="24"/>
    </w:rPr>
  </w:style>
  <w:style w:type="character" w:styleId="ListLabel9">
    <w:name w:val="ListLabel 9"/>
    <w:qFormat/>
    <w:rPr>
      <w:sz w:val="22"/>
      <w:szCs w:val="24"/>
    </w:rPr>
  </w:style>
  <w:style w:type="character" w:styleId="ListLabel10">
    <w:name w:val="ListLabel 10"/>
    <w:qFormat/>
    <w:rPr>
      <w:b w:val="false"/>
    </w:rPr>
  </w:style>
  <w:style w:type="character" w:styleId="ListLabel11">
    <w:name w:val="ListLabel 11"/>
    <w:qFormat/>
    <w:rPr>
      <w:sz w:val="22"/>
      <w:szCs w:val="24"/>
    </w:rPr>
  </w:style>
  <w:style w:type="character" w:styleId="ListLabel12">
    <w:name w:val="ListLabel 12"/>
    <w:qFormat/>
    <w:rPr>
      <w:i w:val="false"/>
      <w:iCs w:val="false"/>
      <w:sz w:val="22"/>
      <w:szCs w:val="24"/>
    </w:rPr>
  </w:style>
  <w:style w:type="character" w:styleId="ListLabel13">
    <w:name w:val="ListLabel 13"/>
    <w:qFormat/>
    <w:rPr>
      <w:sz w:val="22"/>
      <w:szCs w:val="24"/>
    </w:rPr>
  </w:style>
  <w:style w:type="character" w:styleId="ListLabel14">
    <w:name w:val="ListLabel 14"/>
    <w:qFormat/>
    <w:rPr>
      <w:sz w:val="22"/>
      <w:szCs w:val="24"/>
    </w:rPr>
  </w:style>
  <w:style w:type="character" w:styleId="ListLabel15">
    <w:name w:val="ListLabel 15"/>
    <w:qFormat/>
    <w:rPr>
      <w:sz w:val="22"/>
      <w:szCs w:val="24"/>
    </w:rPr>
  </w:style>
  <w:style w:type="character" w:styleId="ListLabel16">
    <w:name w:val="ListLabel 16"/>
    <w:qFormat/>
    <w:rPr>
      <w:b w:val="false"/>
      <w:sz w:val="22"/>
    </w:rPr>
  </w:style>
  <w:style w:type="character" w:styleId="ListLabel17">
    <w:name w:val="ListLabel 17"/>
    <w:qFormat/>
    <w:rPr>
      <w:sz w:val="22"/>
      <w:szCs w:val="24"/>
    </w:rPr>
  </w:style>
  <w:style w:type="character" w:styleId="ListLabel18">
    <w:name w:val="ListLabel 18"/>
    <w:qFormat/>
    <w:rPr>
      <w:rFonts w:eastAsia="Times New Roman" w:cs="Calibri"/>
      <w:b/>
      <w:position w:val="0"/>
      <w:sz w:val="22"/>
      <w:sz w:val="22"/>
      <w:szCs w:val="24"/>
      <w:vertAlign w:val="baseline"/>
    </w:rPr>
  </w:style>
  <w:style w:type="character" w:styleId="ListLabel19">
    <w:name w:val="ListLabel 19"/>
    <w:qFormat/>
    <w:rPr>
      <w:b/>
      <w:sz w:val="22"/>
    </w:rPr>
  </w:style>
  <w:style w:type="character" w:styleId="ListLabel20">
    <w:name w:val="ListLabel 20"/>
    <w:qFormat/>
    <w:rPr>
      <w:rFonts w:eastAsia="Times New Roman"/>
      <w:b/>
      <w:sz w:val="22"/>
    </w:rPr>
  </w:style>
  <w:style w:type="character" w:styleId="ListLabel21">
    <w:name w:val="ListLabel 21"/>
    <w:qFormat/>
    <w:rPr>
      <w:b/>
      <w:sz w:val="22"/>
    </w:rPr>
  </w:style>
  <w:style w:type="character" w:styleId="ListLabel22">
    <w:name w:val="ListLabel 22"/>
    <w:qFormat/>
    <w:rPr>
      <w:rFonts w:cs="Tahoma"/>
      <w:b/>
      <w:i/>
      <w:sz w:val="22"/>
      <w:szCs w:val="18"/>
    </w:rPr>
  </w:style>
  <w:style w:type="character" w:styleId="ListLabel23">
    <w:name w:val="ListLabel 23"/>
    <w:qFormat/>
    <w:rPr>
      <w:i w:val="false"/>
      <w:iCs w:val="false"/>
      <w:sz w:val="22"/>
      <w:szCs w:val="24"/>
    </w:rPr>
  </w:style>
  <w:style w:type="character" w:styleId="ListLabel24">
    <w:name w:val="ListLabel 24"/>
    <w:qFormat/>
    <w:rPr>
      <w:sz w:val="22"/>
      <w:szCs w:val="24"/>
    </w:rPr>
  </w:style>
  <w:style w:type="character" w:styleId="ListLabel25">
    <w:name w:val="ListLabel 25"/>
    <w:qFormat/>
    <w:rPr>
      <w:sz w:val="22"/>
      <w:szCs w:val="24"/>
    </w:rPr>
  </w:style>
  <w:style w:type="character" w:styleId="ListLabel26">
    <w:name w:val="ListLabel 26"/>
    <w:qFormat/>
    <w:rPr>
      <w:sz w:val="22"/>
      <w:szCs w:val="24"/>
    </w:rPr>
  </w:style>
  <w:style w:type="character" w:styleId="ListLabel27">
    <w:name w:val="ListLabel 27"/>
    <w:qFormat/>
    <w:rPr>
      <w:sz w:val="22"/>
      <w:szCs w:val="24"/>
    </w:rPr>
  </w:style>
  <w:style w:type="character" w:styleId="ListLabel28">
    <w:name w:val="ListLabel 28"/>
    <w:qFormat/>
    <w:rPr>
      <w:rFonts w:cs="Symbol"/>
      <w:sz w:val="22"/>
    </w:rPr>
  </w:style>
  <w:style w:type="character" w:styleId="ListLabel29">
    <w:name w:val="ListLabel 29"/>
    <w:qFormat/>
    <w:rPr>
      <w:i w:val="false"/>
      <w:iCs w:val="false"/>
      <w:sz w:val="22"/>
      <w:szCs w:val="24"/>
    </w:rPr>
  </w:style>
  <w:style w:type="character" w:styleId="ListLabel30">
    <w:name w:val="ListLabel 30"/>
    <w:qFormat/>
    <w:rPr>
      <w:sz w:val="22"/>
      <w:szCs w:val="24"/>
    </w:rPr>
  </w:style>
  <w:style w:type="character" w:styleId="ListLabel31">
    <w:name w:val="ListLabel 31"/>
    <w:qFormat/>
    <w:rPr>
      <w:rFonts w:cs="Symbol"/>
      <w:sz w:val="22"/>
    </w:rPr>
  </w:style>
  <w:style w:type="character" w:styleId="ListLabel32">
    <w:name w:val="ListLabel 32"/>
    <w:qFormat/>
    <w:rPr>
      <w:sz w:val="22"/>
      <w:szCs w:val="24"/>
    </w:rPr>
  </w:style>
  <w:style w:type="character" w:styleId="ListLabel33">
    <w:name w:val="ListLabel 33"/>
    <w:qFormat/>
    <w:rPr>
      <w:sz w:val="22"/>
      <w:szCs w:val="24"/>
    </w:rPr>
  </w:style>
  <w:style w:type="character" w:styleId="ListLabel34">
    <w:name w:val="ListLabel 34"/>
    <w:qFormat/>
    <w:rPr>
      <w:rFonts w:cs="Symbol"/>
      <w:sz w:val="22"/>
    </w:rPr>
  </w:style>
  <w:style w:type="character" w:styleId="ListLabel35">
    <w:name w:val="ListLabel 35"/>
    <w:qFormat/>
    <w:rPr>
      <w:b w:val="false"/>
      <w:sz w:val="22"/>
    </w:rPr>
  </w:style>
  <w:style w:type="character" w:styleId="ListLabel36">
    <w:name w:val="ListLabel 36"/>
    <w:qFormat/>
    <w:rPr>
      <w:rFonts w:cs="Symbol"/>
      <w:sz w:val="22"/>
    </w:rPr>
  </w:style>
  <w:style w:type="character" w:styleId="ListLabel37">
    <w:name w:val="ListLabel 37"/>
    <w:qFormat/>
    <w:rPr>
      <w:sz w:val="22"/>
      <w:szCs w:val="24"/>
    </w:rPr>
  </w:style>
  <w:style w:type="character" w:styleId="ListLabel38">
    <w:name w:val="ListLabel 38"/>
    <w:qFormat/>
    <w:rPr>
      <w:rFonts w:cs="Symbol"/>
      <w:sz w:val="22"/>
    </w:rPr>
  </w:style>
  <w:style w:type="paragraph" w:styleId="Nagwek">
    <w:name w:val="Nagłówek"/>
    <w:basedOn w:val="Normal"/>
    <w:next w:val="Tretekstu"/>
    <w:qFormat/>
    <w:pPr>
      <w:keepNext/>
      <w:spacing w:before="240" w:after="120"/>
    </w:pPr>
    <w:rPr>
      <w:rFonts w:ascii="Liberation Sans" w:hAnsi="Liberation Sans" w:eastAsia="Microsoft YaHei" w:cs="Ari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w:rPr>
  </w:style>
  <w:style w:type="paragraph" w:styleId="Podpis">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Stopka">
    <w:name w:val="Footer"/>
    <w:basedOn w:val="Normal"/>
    <w:link w:val="StopkaZnak"/>
    <w:uiPriority w:val="99"/>
    <w:rsid w:val="00651bda"/>
    <w:pPr>
      <w:tabs>
        <w:tab w:val="center" w:pos="4536" w:leader="none"/>
        <w:tab w:val="right" w:pos="9072" w:leader="none"/>
      </w:tabs>
    </w:pPr>
    <w:rPr/>
  </w:style>
  <w:style w:type="paragraph" w:styleId="ListParagraph">
    <w:name w:val="List Paragraph"/>
    <w:basedOn w:val="Normal"/>
    <w:link w:val="AkapitzlistZnak"/>
    <w:uiPriority w:val="34"/>
    <w:qFormat/>
    <w:rsid w:val="00651bda"/>
    <w:pPr>
      <w:spacing w:before="0" w:after="0"/>
      <w:ind w:left="720" w:hanging="0"/>
      <w:contextualSpacing/>
    </w:pPr>
    <w:rPr>
      <w:rFonts w:eastAsia="SimSun"/>
      <w:lang w:eastAsia="zh-CN"/>
    </w:rPr>
  </w:style>
  <w:style w:type="paragraph" w:styleId="Standard" w:customStyle="1">
    <w:name w:val="Standard"/>
    <w:qFormat/>
    <w:rsid w:val="00651bda"/>
    <w:pPr>
      <w:widowControl w:val="false"/>
      <w:suppressAutoHyphens w:val="true"/>
      <w:bidi w:val="0"/>
      <w:spacing w:lineRule="auto" w:line="240" w:before="0" w:after="0"/>
      <w:jc w:val="left"/>
    </w:pPr>
    <w:rPr>
      <w:rFonts w:ascii="Times New Roman" w:hAnsi="Times New Roman" w:eastAsia="SimSun" w:cs="Mangal"/>
      <w:color w:val="00000A"/>
      <w:sz w:val="24"/>
      <w:szCs w:val="24"/>
      <w:lang w:val="pl-PL" w:eastAsia="zh-CN" w:bidi="hi-IN"/>
    </w:rPr>
  </w:style>
  <w:style w:type="paragraph" w:styleId="ListBullet">
    <w:name w:val="List Bullet"/>
    <w:basedOn w:val="Normal"/>
    <w:uiPriority w:val="99"/>
    <w:unhideWhenUsed/>
    <w:qFormat/>
    <w:rsid w:val="00651bda"/>
    <w:pPr>
      <w:tabs>
        <w:tab w:val="left" w:pos="720" w:leader="none"/>
      </w:tabs>
      <w:spacing w:lineRule="auto" w:line="276" w:before="0" w:after="200"/>
      <w:ind w:left="720" w:hanging="0"/>
      <w:contextualSpacing/>
    </w:pPr>
    <w:rPr>
      <w:rFonts w:ascii="Calibri" w:hAnsi="Calibri" w:eastAsia="Calibri"/>
      <w:sz w:val="22"/>
      <w:szCs w:val="22"/>
      <w:lang w:eastAsia="en-US"/>
    </w:rPr>
  </w:style>
  <w:style w:type="paragraph" w:styleId="Gwka">
    <w:name w:val="Header"/>
    <w:basedOn w:val="Normal"/>
    <w:link w:val="NagwekZnak"/>
    <w:uiPriority w:val="99"/>
    <w:unhideWhenUsed/>
    <w:rsid w:val="002c7888"/>
    <w:pPr>
      <w:tabs>
        <w:tab w:val="center" w:pos="4536" w:leader="none"/>
        <w:tab w:val="right" w:pos="9072" w:leader="none"/>
      </w:tabs>
    </w:pPr>
    <w:rPr/>
  </w:style>
  <w:style w:type="numbering" w:styleId="NoList" w:default="1">
    <w:name w:val="No List"/>
    <w:uiPriority w:val="99"/>
    <w:semiHidden/>
    <w:unhideWhenUsed/>
    <w:qFormat/>
  </w:style>
  <w:style w:type="numbering" w:styleId="WW8Num6" w:customStyle="1">
    <w:name w:val="WW8Num6"/>
    <w:qFormat/>
    <w:rsid w:val="00651bda"/>
  </w:style>
  <w:style w:type="numbering" w:styleId="WW8Num1" w:customStyle="1">
    <w:name w:val="WW8Num1"/>
    <w:qFormat/>
    <w:rsid w:val="00651bda"/>
  </w:style>
  <w:style w:type="numbering" w:styleId="WW8Num2" w:customStyle="1">
    <w:name w:val="WW8Num2"/>
    <w:qFormat/>
    <w:rsid w:val="00651bda"/>
  </w:style>
  <w:style w:type="numbering" w:styleId="WW8Num10" w:customStyle="1">
    <w:name w:val="WW8Num10"/>
    <w:qFormat/>
    <w:rsid w:val="00651bda"/>
  </w:style>
  <w:style w:type="numbering" w:styleId="WW8Num11" w:customStyle="1">
    <w:name w:val="WW8Num11"/>
    <w:qFormat/>
    <w:rsid w:val="00651bda"/>
  </w:style>
  <w:style w:type="numbering" w:styleId="WW8Num8" w:customStyle="1">
    <w:name w:val="WW8Num8"/>
    <w:qFormat/>
    <w:rsid w:val="00651bda"/>
  </w:style>
  <w:style w:type="numbering" w:styleId="WW8Num5" w:customStyle="1">
    <w:name w:val="WW8Num5"/>
    <w:qFormat/>
    <w:rsid w:val="00651bda"/>
  </w:style>
  <w:style w:type="numbering" w:styleId="WW8Num9" w:customStyle="1">
    <w:name w:val="WW8Num9"/>
    <w:qFormat/>
    <w:rsid w:val="00651bda"/>
  </w:style>
  <w:style w:type="numbering" w:styleId="WW8Num3" w:customStyle="1">
    <w:name w:val="WW8Num3"/>
    <w:qFormat/>
    <w:rsid w:val="00651bda"/>
  </w:style>
  <w:style w:type="numbering" w:styleId="WW8Num7" w:customStyle="1">
    <w:name w:val="WW8Num7"/>
    <w:qFormat/>
    <w:rsid w:val="00651bda"/>
  </w:style>
  <w:style w:type="numbering" w:styleId="WW8Num4" w:customStyle="1">
    <w:name w:val="WW8Num4"/>
    <w:qFormat/>
    <w:rsid w:val="00651bda"/>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Application>LibreOffice/5.2.1.2$Windows_x86 LibreOffice_project/31dd62db80d4e60af04904455ec9c9219178d620</Application>
  <Pages>4</Pages>
  <Words>1314</Words>
  <Characters>9192</Characters>
  <CharactersWithSpaces>10470</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2020-10-12T08:59:00Z</dcterms:created>
  <dc:creator/>
  <dc:description/>
  <dc:language>pl-PL</dc:language>
  <cp:lastModifiedBy/>
  <dcterms:modified xsi:type="dcterms:W3CDTF">2020-12-29T09:27:22Z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