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Oznaczenie sprawy: 16/ZP/2017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>PAKIET NR 1 – MYCOPLASMA, UREAPLASMA 2017-2019</w:t>
      </w:r>
      <w:r>
        <w:rPr>
          <w:b w:val="false"/>
          <w:bCs w:val="false"/>
          <w:sz w:val="22"/>
          <w:szCs w:val="22"/>
          <w:u w:val="none"/>
        </w:rPr>
        <w:t xml:space="preserve">                                                                                        Załącznik nr 2 do SIWZ</w:t>
      </w:r>
    </w:p>
    <w:p>
      <w:pPr>
        <w:pStyle w:val="Normal"/>
        <w:rPr/>
      </w:pPr>
      <w:r>
        <w:rPr/>
      </w:r>
    </w:p>
    <w:tbl>
      <w:tblPr>
        <w:tblW w:w="16110" w:type="dxa"/>
        <w:jc w:val="left"/>
        <w:tblInd w:w="-5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689"/>
        <w:gridCol w:w="989"/>
        <w:gridCol w:w="1350"/>
        <w:gridCol w:w="1065"/>
        <w:gridCol w:w="1335"/>
        <w:gridCol w:w="1170"/>
        <w:gridCol w:w="1348"/>
        <w:gridCol w:w="1365"/>
        <w:gridCol w:w="1350"/>
        <w:gridCol w:w="1335"/>
        <w:gridCol w:w="1112"/>
      </w:tblGrid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OPAKOWANIU JEDNOSTKOWYM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PEŁNYCH OPAK.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NETTO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BRUTTO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NA 2 LATA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NA 2 LATA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tabs>
                <w:tab w:val="left" w:pos="1695" w:leader="none"/>
              </w:tabs>
              <w:ind w:left="5" w:right="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Zestaw do diagnostyki mykoplazmatycznych zakażeń dróg moczowo-płciowych (identyfikacja, ocena ilości i lekowrażliwości zakażeń wywołanych przez </w:t>
            </w:r>
            <w:r>
              <w:rPr>
                <w:i/>
              </w:rPr>
              <w:t>Ureaplasma urealyticum</w:t>
            </w:r>
            <w:r>
              <w:rPr/>
              <w:t xml:space="preserve"> i </w:t>
            </w:r>
            <w:r>
              <w:rPr>
                <w:i/>
              </w:rPr>
              <w:t xml:space="preserve">Mycoplasma hominis . </w:t>
            </w:r>
            <w:r>
              <w:rPr>
                <w:i w:val="false"/>
                <w:iCs w:val="false"/>
              </w:rPr>
              <w:t>Test bez dodatkowej możliwości wykrywania  Trichomonas vaginalis.</w:t>
            </w:r>
          </w:p>
          <w:p>
            <w:pPr>
              <w:pStyle w:val="Normal"/>
              <w:snapToGrid w:val="false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Testy powinny zawierać podłoża do pobierania i transportu materiału klinicznego. Możliwość jednoczesnej identyfikacji, oceny ilościowej i lekowrażliwości.( w tym  Josamycyna i Pristinamycyna). Jednoczesny  odczyt wyników identyfikacji i lekowrażliwości </w:t>
            </w:r>
          </w:p>
          <w:p>
            <w:pPr>
              <w:pStyle w:val="Normal"/>
              <w:snapToGrid w:val="false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w ciągu 24-48 godzin.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opakowa-nie</w:t>
            </w:r>
          </w:p>
          <w:p>
            <w:pPr>
              <w:pStyle w:val="Normal"/>
              <w:jc w:val="center"/>
              <w:rPr/>
            </w:pPr>
            <w:r>
              <w:rPr/>
              <w:t>× 25 testów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LibreOffice/5.2.1.2$Windows_x86 LibreOffice_project/31dd62db80d4e60af04904455ec9c9219178d620</Application>
  <Pages>1</Pages>
  <Words>122</Words>
  <Characters>760</Characters>
  <CharactersWithSpaces>955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2014-12-08T11:47:17Z</dcterms:created>
  <dc:creator/>
  <dc:description/>
  <dc:language>pl-PL</dc:language>
  <cp:lastModifiedBy/>
  <cp:lastPrinted>2017-06-22T12:04:26Z</cp:lastPrinted>
  <dcterms:modified xsi:type="dcterms:W3CDTF">2017-06-26T12:49:40Z</dcterms:modified>
  <cp:revision>18</cp:revision>
  <dc:subject/>
  <dc:title/>
</cp:coreProperties>
</file>